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4357" w14:textId="77777777" w:rsidR="00CE4B98" w:rsidRDefault="00CE4B98" w:rsidP="007778F0">
      <w:pPr>
        <w:ind w:firstLine="720"/>
        <w:jc w:val="both"/>
      </w:pPr>
    </w:p>
    <w:p w14:paraId="4D5CBB98" w14:textId="77777777" w:rsidR="004A03AD" w:rsidRPr="007717C0" w:rsidRDefault="00557D7E" w:rsidP="00557D7E">
      <w:pPr>
        <w:autoSpaceDE w:val="0"/>
        <w:autoSpaceDN w:val="0"/>
        <w:adjustRightInd w:val="0"/>
        <w:spacing w:after="0" w:line="240" w:lineRule="auto"/>
        <w:jc w:val="center"/>
        <w:rPr>
          <w:rFonts w:eastAsia="Aptos" w:cs="Times New Roman"/>
          <w:b/>
          <w:bCs/>
          <w:kern w:val="0"/>
        </w:rPr>
      </w:pPr>
      <w:r w:rsidRPr="007717C0">
        <w:rPr>
          <w:rFonts w:eastAsia="Aptos" w:cs="Times New Roman"/>
          <w:b/>
          <w:bCs/>
          <w:kern w:val="0"/>
        </w:rPr>
        <w:t>The Quantum Realm</w:t>
      </w:r>
      <w:r w:rsidR="004A03AD" w:rsidRPr="007717C0">
        <w:rPr>
          <w:rFonts w:eastAsia="Aptos" w:cs="Times New Roman"/>
          <w:b/>
          <w:bCs/>
          <w:kern w:val="0"/>
        </w:rPr>
        <w:t xml:space="preserve">: </w:t>
      </w:r>
    </w:p>
    <w:p w14:paraId="64EA2752" w14:textId="40F8931F" w:rsidR="004A03AD" w:rsidRPr="007717C0" w:rsidRDefault="00C648D0" w:rsidP="00557D7E">
      <w:pPr>
        <w:autoSpaceDE w:val="0"/>
        <w:autoSpaceDN w:val="0"/>
        <w:adjustRightInd w:val="0"/>
        <w:spacing w:after="0" w:line="240" w:lineRule="auto"/>
        <w:jc w:val="center"/>
        <w:rPr>
          <w:rFonts w:eastAsia="Aptos" w:cs="Times New Roman"/>
          <w:b/>
          <w:bCs/>
          <w:kern w:val="0"/>
        </w:rPr>
      </w:pPr>
      <w:r w:rsidRPr="007717C0">
        <w:rPr>
          <w:rFonts w:eastAsia="Aptos" w:cs="Times New Roman"/>
          <w:b/>
          <w:bCs/>
          <w:kern w:val="0"/>
        </w:rPr>
        <w:t>Strategies</w:t>
      </w:r>
      <w:r w:rsidR="004A03AD" w:rsidRPr="007717C0">
        <w:rPr>
          <w:rFonts w:eastAsia="Aptos" w:cs="Times New Roman"/>
          <w:b/>
          <w:bCs/>
          <w:kern w:val="0"/>
        </w:rPr>
        <w:t xml:space="preserve"> for Pleading and Trying </w:t>
      </w:r>
    </w:p>
    <w:p w14:paraId="467A5AD6" w14:textId="32053606" w:rsidR="00557D7E" w:rsidRPr="007717C0" w:rsidRDefault="004A03AD" w:rsidP="00557D7E">
      <w:pPr>
        <w:autoSpaceDE w:val="0"/>
        <w:autoSpaceDN w:val="0"/>
        <w:adjustRightInd w:val="0"/>
        <w:spacing w:after="0" w:line="240" w:lineRule="auto"/>
        <w:jc w:val="center"/>
        <w:rPr>
          <w:rFonts w:eastAsia="Aptos" w:cs="Times New Roman"/>
          <w:b/>
          <w:bCs/>
          <w:kern w:val="0"/>
        </w:rPr>
      </w:pPr>
      <w:r w:rsidRPr="007717C0">
        <w:rPr>
          <w:rFonts w:eastAsia="Aptos" w:cs="Times New Roman"/>
          <w:b/>
          <w:bCs/>
          <w:kern w:val="0"/>
        </w:rPr>
        <w:t>Extra</w:t>
      </w:r>
      <w:r w:rsidR="00661A83" w:rsidRPr="007717C0">
        <w:rPr>
          <w:rFonts w:eastAsia="Aptos" w:cs="Times New Roman"/>
          <w:b/>
          <w:bCs/>
          <w:kern w:val="0"/>
        </w:rPr>
        <w:t xml:space="preserve"> </w:t>
      </w:r>
      <w:r w:rsidRPr="007717C0">
        <w:rPr>
          <w:rFonts w:eastAsia="Aptos" w:cs="Times New Roman"/>
          <w:b/>
          <w:bCs/>
          <w:kern w:val="0"/>
        </w:rPr>
        <w:t>Contractual Claims</w:t>
      </w:r>
    </w:p>
    <w:p w14:paraId="5EFB9244"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74272253"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1C5CD260"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2FFF690B"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746D9F5D"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2C87A0DB"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6A32C4F4"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38BAA4D9" w14:textId="77777777" w:rsidR="00557D7E" w:rsidRDefault="00557D7E" w:rsidP="00557D7E">
      <w:pPr>
        <w:autoSpaceDE w:val="0"/>
        <w:autoSpaceDN w:val="0"/>
        <w:adjustRightInd w:val="0"/>
        <w:spacing w:after="0" w:line="240" w:lineRule="auto"/>
        <w:jc w:val="center"/>
        <w:rPr>
          <w:rFonts w:eastAsia="Aptos" w:cs="Times New Roman"/>
          <w:kern w:val="0"/>
        </w:rPr>
      </w:pPr>
    </w:p>
    <w:p w14:paraId="4D5E3A1E" w14:textId="77777777" w:rsidR="007717C0" w:rsidRDefault="007717C0" w:rsidP="00557D7E">
      <w:pPr>
        <w:autoSpaceDE w:val="0"/>
        <w:autoSpaceDN w:val="0"/>
        <w:adjustRightInd w:val="0"/>
        <w:spacing w:after="0" w:line="240" w:lineRule="auto"/>
        <w:jc w:val="center"/>
        <w:rPr>
          <w:rFonts w:eastAsia="Aptos" w:cs="Times New Roman"/>
          <w:kern w:val="0"/>
        </w:rPr>
      </w:pPr>
    </w:p>
    <w:p w14:paraId="188A6F63" w14:textId="77777777" w:rsidR="007717C0" w:rsidRDefault="007717C0" w:rsidP="00557D7E">
      <w:pPr>
        <w:autoSpaceDE w:val="0"/>
        <w:autoSpaceDN w:val="0"/>
        <w:adjustRightInd w:val="0"/>
        <w:spacing w:after="0" w:line="240" w:lineRule="auto"/>
        <w:jc w:val="center"/>
        <w:rPr>
          <w:rFonts w:eastAsia="Aptos" w:cs="Times New Roman"/>
          <w:kern w:val="0"/>
        </w:rPr>
      </w:pPr>
    </w:p>
    <w:p w14:paraId="57040B19" w14:textId="77777777" w:rsidR="007717C0" w:rsidRPr="007717C0" w:rsidRDefault="007717C0" w:rsidP="00557D7E">
      <w:pPr>
        <w:autoSpaceDE w:val="0"/>
        <w:autoSpaceDN w:val="0"/>
        <w:adjustRightInd w:val="0"/>
        <w:spacing w:after="0" w:line="240" w:lineRule="auto"/>
        <w:jc w:val="center"/>
        <w:rPr>
          <w:rFonts w:eastAsia="Aptos" w:cs="Times New Roman"/>
          <w:kern w:val="0"/>
        </w:rPr>
      </w:pPr>
    </w:p>
    <w:p w14:paraId="6B52FB5C"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6981F327"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r w:rsidRPr="007717C0">
        <w:rPr>
          <w:rFonts w:eastAsia="Aptos" w:cs="Times New Roman"/>
          <w:b/>
          <w:bCs/>
          <w:kern w:val="0"/>
        </w:rPr>
        <w:t>Presented to:</w:t>
      </w:r>
    </w:p>
    <w:p w14:paraId="395A0D63" w14:textId="6765A6BD" w:rsidR="00557D7E" w:rsidRPr="007717C0" w:rsidRDefault="00557D7E" w:rsidP="00557D7E">
      <w:pPr>
        <w:autoSpaceDE w:val="0"/>
        <w:autoSpaceDN w:val="0"/>
        <w:adjustRightInd w:val="0"/>
        <w:spacing w:after="0" w:line="240" w:lineRule="auto"/>
        <w:jc w:val="center"/>
        <w:rPr>
          <w:rFonts w:eastAsia="Aptos" w:cs="Times New Roman"/>
          <w:kern w:val="0"/>
        </w:rPr>
      </w:pPr>
      <w:r w:rsidRPr="007717C0">
        <w:rPr>
          <w:rFonts w:eastAsia="Aptos" w:cs="Times New Roman"/>
          <w:kern w:val="0"/>
        </w:rPr>
        <w:t>39</w:t>
      </w:r>
      <w:r w:rsidRPr="007717C0">
        <w:rPr>
          <w:rFonts w:eastAsia="Aptos" w:cs="Times New Roman"/>
          <w:kern w:val="0"/>
          <w:vertAlign w:val="superscript"/>
        </w:rPr>
        <w:t xml:space="preserve">th </w:t>
      </w:r>
      <w:r w:rsidRPr="007717C0">
        <w:rPr>
          <w:rFonts w:eastAsia="Aptos" w:cs="Times New Roman"/>
          <w:kern w:val="0"/>
        </w:rPr>
        <w:t xml:space="preserve">Annual Construction Law Conference </w:t>
      </w:r>
    </w:p>
    <w:p w14:paraId="4EC07039" w14:textId="77777777" w:rsidR="00557D7E" w:rsidRPr="007717C0" w:rsidRDefault="00557D7E" w:rsidP="00557D7E">
      <w:pPr>
        <w:autoSpaceDE w:val="0"/>
        <w:autoSpaceDN w:val="0"/>
        <w:adjustRightInd w:val="0"/>
        <w:spacing w:after="0" w:line="240" w:lineRule="auto"/>
        <w:jc w:val="center"/>
        <w:rPr>
          <w:rFonts w:eastAsia="Aptos" w:cs="Times New Roman"/>
          <w:kern w:val="0"/>
        </w:rPr>
      </w:pPr>
      <w:r w:rsidRPr="007717C0">
        <w:rPr>
          <w:rFonts w:eastAsia="Aptos" w:cs="Times New Roman"/>
          <w:kern w:val="0"/>
        </w:rPr>
        <w:t>San Antonio, Texas</w:t>
      </w:r>
    </w:p>
    <w:p w14:paraId="479E0BB4" w14:textId="2F107797" w:rsidR="00557D7E" w:rsidRPr="007717C0" w:rsidRDefault="00557D7E" w:rsidP="00557D7E">
      <w:pPr>
        <w:autoSpaceDE w:val="0"/>
        <w:autoSpaceDN w:val="0"/>
        <w:adjustRightInd w:val="0"/>
        <w:spacing w:after="0" w:line="240" w:lineRule="auto"/>
        <w:jc w:val="center"/>
        <w:rPr>
          <w:rFonts w:eastAsia="Aptos" w:cs="Times New Roman"/>
          <w:kern w:val="0"/>
        </w:rPr>
      </w:pPr>
      <w:r w:rsidRPr="007717C0">
        <w:rPr>
          <w:rFonts w:eastAsia="Aptos" w:cs="Times New Roman"/>
          <w:kern w:val="0"/>
        </w:rPr>
        <w:t>2026</w:t>
      </w:r>
    </w:p>
    <w:p w14:paraId="1533DFCB" w14:textId="77777777" w:rsidR="00557D7E" w:rsidRPr="007717C0" w:rsidRDefault="00557D7E" w:rsidP="00557D7E">
      <w:pPr>
        <w:autoSpaceDE w:val="0"/>
        <w:autoSpaceDN w:val="0"/>
        <w:adjustRightInd w:val="0"/>
        <w:spacing w:after="0" w:line="240" w:lineRule="auto"/>
        <w:jc w:val="center"/>
        <w:rPr>
          <w:rFonts w:eastAsia="Aptos" w:cs="Times New Roman"/>
          <w:kern w:val="0"/>
        </w:rPr>
      </w:pPr>
    </w:p>
    <w:p w14:paraId="021D3BB4"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36880A69"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1C042375"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65D10AA8"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1F92AFFE"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59765865"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2C2A1294"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65178337"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5211D1CF"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10AAE392"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06E904B3"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34660465"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48C36777"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0B6512BB"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3F8C42E3"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p>
    <w:p w14:paraId="02EEC5BA" w14:textId="77777777" w:rsidR="00557D7E" w:rsidRPr="007717C0" w:rsidRDefault="00557D7E" w:rsidP="00557D7E">
      <w:pPr>
        <w:autoSpaceDE w:val="0"/>
        <w:autoSpaceDN w:val="0"/>
        <w:adjustRightInd w:val="0"/>
        <w:spacing w:after="0" w:line="240" w:lineRule="auto"/>
        <w:jc w:val="center"/>
        <w:rPr>
          <w:rFonts w:eastAsia="Aptos" w:cs="Times New Roman"/>
          <w:b/>
          <w:bCs/>
          <w:kern w:val="0"/>
        </w:rPr>
      </w:pPr>
      <w:r w:rsidRPr="007717C0">
        <w:rPr>
          <w:rFonts w:eastAsia="Aptos" w:cs="Times New Roman"/>
          <w:b/>
          <w:bCs/>
          <w:kern w:val="0"/>
        </w:rPr>
        <w:t>Presented by:</w:t>
      </w:r>
    </w:p>
    <w:p w14:paraId="1D241A15" w14:textId="6A59CB14" w:rsidR="00557D7E" w:rsidRPr="007717C0" w:rsidRDefault="00557D7E" w:rsidP="00557D7E">
      <w:pPr>
        <w:tabs>
          <w:tab w:val="left" w:pos="1258"/>
          <w:tab w:val="center" w:pos="4680"/>
        </w:tabs>
        <w:autoSpaceDE w:val="0"/>
        <w:autoSpaceDN w:val="0"/>
        <w:adjustRightInd w:val="0"/>
        <w:spacing w:after="0" w:line="240" w:lineRule="auto"/>
        <w:rPr>
          <w:rFonts w:eastAsia="Aptos" w:cs="Times New Roman"/>
          <w:kern w:val="0"/>
        </w:rPr>
      </w:pPr>
      <w:r w:rsidRPr="007717C0">
        <w:rPr>
          <w:rFonts w:eastAsia="Aptos" w:cs="Times New Roman"/>
          <w:kern w:val="0"/>
        </w:rPr>
        <w:tab/>
      </w:r>
      <w:r w:rsidRPr="007717C0">
        <w:rPr>
          <w:rFonts w:eastAsia="Aptos" w:cs="Times New Roman"/>
          <w:kern w:val="0"/>
        </w:rPr>
        <w:tab/>
        <w:t>Jack E. Byrom</w:t>
      </w:r>
    </w:p>
    <w:p w14:paraId="0D09633D" w14:textId="77777777" w:rsidR="00557D7E" w:rsidRPr="007717C0" w:rsidRDefault="00557D7E" w:rsidP="00557D7E">
      <w:pPr>
        <w:autoSpaceDE w:val="0"/>
        <w:autoSpaceDN w:val="0"/>
        <w:adjustRightInd w:val="0"/>
        <w:spacing w:after="0" w:line="240" w:lineRule="auto"/>
        <w:jc w:val="center"/>
        <w:rPr>
          <w:rFonts w:eastAsia="Aptos" w:cs="Times New Roman"/>
          <w:kern w:val="0"/>
        </w:rPr>
      </w:pPr>
      <w:r w:rsidRPr="007717C0">
        <w:rPr>
          <w:rFonts w:eastAsia="Aptos" w:cs="Times New Roman"/>
          <w:kern w:val="0"/>
        </w:rPr>
        <w:t>Allensworth</w:t>
      </w:r>
    </w:p>
    <w:p w14:paraId="3C30C9D7" w14:textId="77777777" w:rsidR="00557D7E" w:rsidRPr="007717C0" w:rsidRDefault="00557D7E" w:rsidP="00557D7E">
      <w:pPr>
        <w:autoSpaceDE w:val="0"/>
        <w:autoSpaceDN w:val="0"/>
        <w:adjustRightInd w:val="0"/>
        <w:spacing w:after="0" w:line="240" w:lineRule="auto"/>
        <w:jc w:val="center"/>
        <w:rPr>
          <w:rFonts w:eastAsia="Aptos" w:cs="Times New Roman"/>
          <w:kern w:val="0"/>
        </w:rPr>
      </w:pPr>
      <w:r w:rsidRPr="007717C0">
        <w:rPr>
          <w:rFonts w:eastAsia="Aptos" w:cs="Times New Roman"/>
          <w:kern w:val="0"/>
        </w:rPr>
        <w:t>Austin, Texas</w:t>
      </w:r>
    </w:p>
    <w:p w14:paraId="7B78A625" w14:textId="77777777" w:rsidR="00CE4B98" w:rsidRPr="007717C0" w:rsidRDefault="00CE4B98"/>
    <w:p w14:paraId="21A240A5" w14:textId="6896C7B7" w:rsidR="00CE4B98" w:rsidRPr="007717C0" w:rsidRDefault="00CE4B98">
      <w:r w:rsidRPr="007717C0">
        <w:br w:type="page"/>
      </w:r>
    </w:p>
    <w:p w14:paraId="7DE875A3" w14:textId="60114A95" w:rsidR="00C30FA3" w:rsidRDefault="00207387" w:rsidP="007778F0">
      <w:pPr>
        <w:ind w:firstLine="720"/>
        <w:jc w:val="both"/>
      </w:pPr>
      <w:r>
        <w:lastRenderedPageBreak/>
        <w:t xml:space="preserve">Construction disputes are generally creatures of contract. But alongside nearly every breach of contract claim, </w:t>
      </w:r>
      <w:r w:rsidR="00DE5110">
        <w:t>claimants</w:t>
      </w:r>
      <w:r>
        <w:t xml:space="preserve"> include alternative or supplemental claims seeking to maximize their </w:t>
      </w:r>
      <w:r w:rsidR="00DE5110">
        <w:t xml:space="preserve">likelihood of </w:t>
      </w:r>
      <w:r>
        <w:t xml:space="preserve">recovery. This paper explores three of them—quantum meruit, cardinal change, and fraud. </w:t>
      </w:r>
    </w:p>
    <w:p w14:paraId="277FB7B1" w14:textId="54747BC3" w:rsidR="00AC4897" w:rsidRDefault="00207387" w:rsidP="007778F0">
      <w:pPr>
        <w:ind w:firstLine="720"/>
        <w:jc w:val="both"/>
      </w:pPr>
      <w:r>
        <w:t xml:space="preserve">Many esteemed members of this section have written on these claims at length, and this paper does not seek to rehash their helpful work. Instead, it seeks to shed light on some considerations that parties should </w:t>
      </w:r>
      <w:r w:rsidR="00DE5110">
        <w:t>keep in mind</w:t>
      </w:r>
      <w:r>
        <w:t xml:space="preserve"> to maximize their prosecution or defense of these claims. </w:t>
      </w:r>
      <w:r w:rsidR="00CD73AF">
        <w:t xml:space="preserve">This includes </w:t>
      </w:r>
      <w:r w:rsidR="00DE5110">
        <w:t>more than</w:t>
      </w:r>
      <w:r w:rsidR="00CD73AF">
        <w:t xml:space="preserve"> just convincing a factfinder</w:t>
      </w:r>
      <w:r w:rsidR="002571A7">
        <w:t>; it requires</w:t>
      </w:r>
      <w:r w:rsidR="00DE5110">
        <w:t xml:space="preserve"> </w:t>
      </w:r>
      <w:r w:rsidR="00CD73AF">
        <w:t xml:space="preserve">choosing the right claims to </w:t>
      </w:r>
      <w:r w:rsidR="00DE5110">
        <w:t>align with</w:t>
      </w:r>
      <w:r w:rsidR="00CD73AF">
        <w:t xml:space="preserve"> client expectations, maximizing the chance of a successful mediation, </w:t>
      </w:r>
      <w:r w:rsidR="009C459F">
        <w:t>and</w:t>
      </w:r>
      <w:r w:rsidR="00CD73AF">
        <w:t xml:space="preserve"> </w:t>
      </w:r>
      <w:proofErr w:type="gramStart"/>
      <w:r w:rsidR="00DE5110">
        <w:t>set</w:t>
      </w:r>
      <w:proofErr w:type="gramEnd"/>
      <w:r w:rsidR="00DE5110">
        <w:t xml:space="preserve"> the course for successful dispositive</w:t>
      </w:r>
      <w:r w:rsidR="00CD73AF">
        <w:t xml:space="preserve"> motion practice</w:t>
      </w:r>
      <w:r w:rsidR="00664481">
        <w:t xml:space="preserve">. </w:t>
      </w:r>
      <w:r w:rsidR="00CD73AF">
        <w:t>Hopefully, the information provided here will give these claims the focus they deserve and offer guidance as to how these claims can be leveraged, for both plaintiffs and defendants, in construction disputes.</w:t>
      </w:r>
      <w:r w:rsidR="004A03AD">
        <w:rPr>
          <w:rStyle w:val="FootnoteReference"/>
        </w:rPr>
        <w:footnoteReference w:id="1"/>
      </w:r>
      <w:r w:rsidR="00CD73AF">
        <w:t xml:space="preserve"> </w:t>
      </w:r>
    </w:p>
    <w:p w14:paraId="77A1C503" w14:textId="53DFE42F" w:rsidR="00EB31FB" w:rsidRPr="0020013C" w:rsidRDefault="00432E87" w:rsidP="00EB31FB">
      <w:pPr>
        <w:pStyle w:val="ListParagraph"/>
        <w:numPr>
          <w:ilvl w:val="0"/>
          <w:numId w:val="7"/>
        </w:numPr>
        <w:jc w:val="both"/>
        <w:rPr>
          <w:b/>
          <w:bCs/>
        </w:rPr>
      </w:pPr>
      <w:r w:rsidRPr="0020013C">
        <w:rPr>
          <w:b/>
          <w:bCs/>
        </w:rPr>
        <w:t>Quantum Mer</w:t>
      </w:r>
      <w:r w:rsidR="00EB31FB" w:rsidRPr="0020013C">
        <w:rPr>
          <w:b/>
          <w:bCs/>
        </w:rPr>
        <w:t>uit</w:t>
      </w:r>
    </w:p>
    <w:p w14:paraId="258D64EF" w14:textId="77777777" w:rsidR="00CD73AF" w:rsidRDefault="00CD73AF" w:rsidP="00652BDA">
      <w:pPr>
        <w:pStyle w:val="ListParagraph"/>
        <w:spacing w:after="0" w:line="240" w:lineRule="auto"/>
        <w:ind w:left="1800"/>
        <w:jc w:val="both"/>
      </w:pPr>
    </w:p>
    <w:p w14:paraId="2B05F0A6" w14:textId="715A0562" w:rsidR="00EB31FB" w:rsidRPr="0020013C" w:rsidRDefault="00EB31FB" w:rsidP="00EB31FB">
      <w:pPr>
        <w:pStyle w:val="ListParagraph"/>
        <w:numPr>
          <w:ilvl w:val="0"/>
          <w:numId w:val="10"/>
        </w:numPr>
        <w:jc w:val="both"/>
        <w:rPr>
          <w:b/>
          <w:bCs/>
        </w:rPr>
      </w:pPr>
      <w:r w:rsidRPr="0020013C">
        <w:rPr>
          <w:b/>
          <w:bCs/>
        </w:rPr>
        <w:t>Considerations for Pleading</w:t>
      </w:r>
    </w:p>
    <w:p w14:paraId="3BCB16E0" w14:textId="7387735D" w:rsidR="000A7AD2" w:rsidRPr="00E75069" w:rsidRDefault="00FC46B1" w:rsidP="000A7AD2">
      <w:pPr>
        <w:ind w:left="90" w:firstLine="630"/>
        <w:jc w:val="both"/>
      </w:pPr>
      <w:r>
        <w:t>Any claim</w:t>
      </w:r>
      <w:r w:rsidR="000A7AD2">
        <w:t xml:space="preserve"> in quantum meruit should</w:t>
      </w:r>
      <w:r>
        <w:t xml:space="preserve"> </w:t>
      </w:r>
      <w:r w:rsidR="000A7AD2">
        <w:t xml:space="preserve">set forth the required elements, including (1) </w:t>
      </w:r>
      <w:r w:rsidR="00C312F3">
        <w:t xml:space="preserve">that </w:t>
      </w:r>
      <w:r w:rsidR="000A7AD2">
        <w:t>valuable services were rendered; (2) to the party sought to be charged; (3) which services were accepted by the party sought to be charged</w:t>
      </w:r>
      <w:r w:rsidR="00C312F3">
        <w:t>;</w:t>
      </w:r>
      <w:r w:rsidR="000A7AD2">
        <w:t xml:space="preserve"> and (4) under such circumstances </w:t>
      </w:r>
      <w:r w:rsidR="00C312F3">
        <w:t xml:space="preserve">to </w:t>
      </w:r>
      <w:r w:rsidR="000A7AD2">
        <w:t>reasonably notif</w:t>
      </w:r>
      <w:r w:rsidR="00C312F3">
        <w:t xml:space="preserve">y </w:t>
      </w:r>
      <w:r w:rsidR="000A7AD2">
        <w:t>the recipient that the plaintiff, in performing such services, expected to be paid by the recipient.</w:t>
      </w:r>
      <w:r w:rsidR="000A7AD2">
        <w:rPr>
          <w:rStyle w:val="FootnoteReference"/>
        </w:rPr>
        <w:footnoteReference w:id="2"/>
      </w:r>
      <w:r w:rsidR="000A7AD2">
        <w:t xml:space="preserve"> Pleading these elements well enough to comply with Texas and federal pleading standards is usually easy enough to do. But litigants who want their quantum meruit claims taken seriously (as opposed </w:t>
      </w:r>
      <w:r w:rsidR="00600CCE">
        <w:t>to simply a throwaway alternative) should consider the following principles that can present significant risks to successful resolution.</w:t>
      </w:r>
    </w:p>
    <w:p w14:paraId="0D0ABD26" w14:textId="0B031BC8" w:rsidR="00EB31FB" w:rsidRPr="0020013C" w:rsidRDefault="00EB31FB" w:rsidP="00EB31FB">
      <w:pPr>
        <w:pStyle w:val="ListParagraph"/>
        <w:numPr>
          <w:ilvl w:val="1"/>
          <w:numId w:val="10"/>
        </w:numPr>
        <w:jc w:val="both"/>
        <w:rPr>
          <w:b/>
          <w:bCs/>
        </w:rPr>
      </w:pPr>
      <w:r w:rsidRPr="0020013C">
        <w:rPr>
          <w:b/>
          <w:bCs/>
        </w:rPr>
        <w:t>Express Contract Rule</w:t>
      </w:r>
    </w:p>
    <w:p w14:paraId="4F68D1FA" w14:textId="7BF97677" w:rsidR="006412A8" w:rsidRDefault="003F5854" w:rsidP="00770D7D">
      <w:pPr>
        <w:ind w:firstLine="720"/>
        <w:jc w:val="both"/>
      </w:pPr>
      <w:r>
        <w:t>As a quasi-contractual remedy, quantum meruit cannot, in most circumstances, exist in the same universe</w:t>
      </w:r>
      <w:r w:rsidR="00E11B0E">
        <w:t xml:space="preserve"> as a breach of contract claim</w:t>
      </w:r>
      <w:r>
        <w:t xml:space="preserve">. </w:t>
      </w:r>
      <w:r w:rsidR="006412A8">
        <w:t xml:space="preserve">In other words, if an </w:t>
      </w:r>
      <w:r w:rsidR="003D655E">
        <w:t xml:space="preserve">enforceable </w:t>
      </w:r>
      <w:r w:rsidR="006412A8">
        <w:t>express contract covers the work of a disputed project, a party cannot recover in quantum meruit as a matter of law.</w:t>
      </w:r>
      <w:r w:rsidR="006412A8">
        <w:rPr>
          <w:rStyle w:val="FootnoteReference"/>
        </w:rPr>
        <w:footnoteReference w:id="3"/>
      </w:r>
      <w:r w:rsidR="006412A8">
        <w:t xml:space="preserve"> </w:t>
      </w:r>
      <w:r w:rsidR="00E06EE2">
        <w:t xml:space="preserve">Depending on the specific contract language at issue, this rule can apply not just to claims relating to </w:t>
      </w:r>
      <w:r w:rsidR="00E06EE2">
        <w:lastRenderedPageBreak/>
        <w:t>the original scope of work, but also to disputes involving changed or additional work.</w:t>
      </w:r>
      <w:r w:rsidR="00E06EE2">
        <w:rPr>
          <w:rStyle w:val="FootnoteReference"/>
        </w:rPr>
        <w:footnoteReference w:id="4"/>
      </w:r>
      <w:r w:rsidR="00E06EE2">
        <w:t xml:space="preserve"> </w:t>
      </w:r>
      <w:r w:rsidR="00770D7D">
        <w:t>This rule is not new; p</w:t>
      </w:r>
      <w:r w:rsidR="006412A8">
        <w:t xml:space="preserve">erhaps </w:t>
      </w:r>
      <w:r w:rsidR="003D655E">
        <w:t>its most colorful description</w:t>
      </w:r>
      <w:r w:rsidR="006412A8">
        <w:t xml:space="preserve"> comes from an 1862 case </w:t>
      </w:r>
      <w:r w:rsidR="004A03AD">
        <w:t>from</w:t>
      </w:r>
      <w:r w:rsidR="006412A8">
        <w:t xml:space="preserve"> the Illinois Supreme Court:</w:t>
      </w:r>
    </w:p>
    <w:p w14:paraId="343E5003" w14:textId="369C686C" w:rsidR="006412A8" w:rsidRPr="00E75069" w:rsidRDefault="006412A8" w:rsidP="006412A8">
      <w:pPr>
        <w:ind w:left="720" w:right="720"/>
        <w:jc w:val="both"/>
      </w:pPr>
      <w:r>
        <w:t>As in physics, two solid bodies cannot occupy the same space at the same time, so in law and common sense, there cannot be an express and an implied contract for the same thing, existing at the same time.</w:t>
      </w:r>
      <w:r>
        <w:rPr>
          <w:rStyle w:val="FootnoteReference"/>
        </w:rPr>
        <w:footnoteReference w:id="5"/>
      </w:r>
      <w:r>
        <w:t xml:space="preserve"> </w:t>
      </w:r>
    </w:p>
    <w:p w14:paraId="6C385ABA" w14:textId="69A439BD" w:rsidR="004F2E93" w:rsidRDefault="00913CDC" w:rsidP="0020013C">
      <w:pPr>
        <w:ind w:firstLine="720"/>
        <w:jc w:val="both"/>
      </w:pPr>
      <w:r>
        <w:t>Texas</w:t>
      </w:r>
      <w:r w:rsidR="004A03AD">
        <w:t xml:space="preserve"> follows the same rule</w:t>
      </w:r>
      <w:r>
        <w:t>, as the Fourteenth Court of Appeals reminded us in January of this year.</w:t>
      </w:r>
      <w:r>
        <w:rPr>
          <w:rStyle w:val="FootnoteReference"/>
        </w:rPr>
        <w:footnoteReference w:id="6"/>
      </w:r>
      <w:r>
        <w:t xml:space="preserve"> </w:t>
      </w:r>
      <w:r w:rsidR="006412A8">
        <w:t xml:space="preserve">Nonetheless, and despite </w:t>
      </w:r>
      <w:r w:rsidR="00740D85">
        <w:t>the rule’s</w:t>
      </w:r>
      <w:r w:rsidR="006412A8">
        <w:t xml:space="preserve"> ancient history, parties in more modern disputes continue to look for ways around it. </w:t>
      </w:r>
      <w:r w:rsidR="003D655E">
        <w:t xml:space="preserve">In construction cases, </w:t>
      </w:r>
      <w:r w:rsidR="00740D85">
        <w:t>the rule often arises in</w:t>
      </w:r>
      <w:r w:rsidR="003D655E">
        <w:t xml:space="preserve"> payment disputes where a subcontractor has not received payment from the general contractor and begins to look around for other ways to collect. </w:t>
      </w:r>
      <w:r w:rsidR="00740D85">
        <w:t>While the</w:t>
      </w:r>
      <w:r w:rsidR="00462A1C">
        <w:t xml:space="preserve"> subcontractor in this situation </w:t>
      </w:r>
      <w:r w:rsidR="00740D85">
        <w:t>may</w:t>
      </w:r>
      <w:r w:rsidR="00DF2023">
        <w:t xml:space="preserve"> have</w:t>
      </w:r>
      <w:r w:rsidR="00462A1C">
        <w:t xml:space="preserve"> lien rights,</w:t>
      </w:r>
      <w:r w:rsidR="00740D85">
        <w:t xml:space="preserve"> even a perfected </w:t>
      </w:r>
      <w:proofErr w:type="gramStart"/>
      <w:r w:rsidR="00740D85">
        <w:t>lien</w:t>
      </w:r>
      <w:proofErr w:type="gramEnd"/>
      <w:r w:rsidR="00740D85">
        <w:t xml:space="preserve"> is limited </w:t>
      </w:r>
      <w:r w:rsidR="002571A7">
        <w:t>to</w:t>
      </w:r>
      <w:r w:rsidR="00740D85">
        <w:t xml:space="preserve"> the owner’s liability under Chapter 53</w:t>
      </w:r>
      <w:r w:rsidR="00DF2023">
        <w:t xml:space="preserve"> of the Texas Property Code</w:t>
      </w:r>
      <w:r w:rsidR="00740D85">
        <w:t>, meaning the subcontractor may never be made whole.</w:t>
      </w:r>
      <w:r w:rsidR="00740D85">
        <w:rPr>
          <w:rStyle w:val="FootnoteReference"/>
        </w:rPr>
        <w:footnoteReference w:id="7"/>
      </w:r>
      <w:r w:rsidR="00740D85">
        <w:t xml:space="preserve"> </w:t>
      </w:r>
    </w:p>
    <w:p w14:paraId="31315A33" w14:textId="12D02768" w:rsidR="00E75069" w:rsidRDefault="00600CCE" w:rsidP="004F2E93">
      <w:pPr>
        <w:ind w:firstLine="720"/>
        <w:jc w:val="both"/>
      </w:pPr>
      <w:r>
        <w:t xml:space="preserve">On occasion, subcontractors </w:t>
      </w:r>
      <w:r w:rsidR="004F2E93">
        <w:t xml:space="preserve">have </w:t>
      </w:r>
      <w:r>
        <w:t xml:space="preserve">attempted to use quantum meruit to recover the unpaid </w:t>
      </w:r>
      <w:r w:rsidR="004D4ECB">
        <w:t>balance from a project owner under the theory that the owner, rather than the contractor, was the party who received the subcontractor’s “valuable services</w:t>
      </w:r>
      <w:r w:rsidR="00675663">
        <w:t xml:space="preserve">.” The express contract rule generally bars these claims even </w:t>
      </w:r>
      <w:r w:rsidR="001A3922">
        <w:t>though</w:t>
      </w:r>
      <w:r w:rsidR="00675663">
        <w:t xml:space="preserve"> the owner is not a party to the underlying express contract.</w:t>
      </w:r>
      <w:r w:rsidR="00675663">
        <w:rPr>
          <w:rStyle w:val="FootnoteReference"/>
        </w:rPr>
        <w:footnoteReference w:id="8"/>
      </w:r>
      <w:r w:rsidR="00675663">
        <w:t xml:space="preserve"> </w:t>
      </w:r>
      <w:r w:rsidR="00E94E9D">
        <w:t>As a result, such attempts</w:t>
      </w:r>
      <w:r w:rsidR="004D4ECB">
        <w:t xml:space="preserve"> have been generally unsuccessful</w:t>
      </w:r>
      <w:r w:rsidR="004F2E93">
        <w:t>, even where the owner was clearly aware of the subcontractor’s expectation of payment</w:t>
      </w:r>
      <w:r w:rsidR="004D4ECB">
        <w:t>.</w:t>
      </w:r>
      <w:r w:rsidR="004F2E93">
        <w:t xml:space="preserve"> </w:t>
      </w:r>
      <w:r w:rsidR="004F2E93" w:rsidRPr="004F2E93">
        <w:t xml:space="preserve">In </w:t>
      </w:r>
      <w:r w:rsidR="004F2E93" w:rsidRPr="004F2E93">
        <w:rPr>
          <w:i/>
          <w:iCs/>
        </w:rPr>
        <w:t>Pepi Corp. v. Galliford</w:t>
      </w:r>
      <w:r w:rsidR="004F2E93">
        <w:t xml:space="preserve">, </w:t>
      </w:r>
      <w:r w:rsidR="004F2E93" w:rsidRPr="004F2E93">
        <w:t xml:space="preserve">for example, a general contractor </w:t>
      </w:r>
      <w:r w:rsidR="004F2E93">
        <w:t>engaged a subcontractor</w:t>
      </w:r>
      <w:r w:rsidR="004F2E93" w:rsidRPr="004F2E93">
        <w:t xml:space="preserve"> to perform electrical work.</w:t>
      </w:r>
      <w:r w:rsidR="00071EA5">
        <w:rPr>
          <w:rStyle w:val="FootnoteReference"/>
        </w:rPr>
        <w:footnoteReference w:id="9"/>
      </w:r>
      <w:r w:rsidR="004F2E93" w:rsidRPr="004F2E93">
        <w:t xml:space="preserve"> </w:t>
      </w:r>
      <w:r w:rsidR="004F2E93">
        <w:t xml:space="preserve">The subcontractor </w:t>
      </w:r>
      <w:r w:rsidR="004F2E93" w:rsidRPr="004F2E93">
        <w:t xml:space="preserve">sent its invoices to the general </w:t>
      </w:r>
      <w:r w:rsidR="009B1957" w:rsidRPr="004F2E93">
        <w:t>contractor but</w:t>
      </w:r>
      <w:r w:rsidR="004F2E93" w:rsidRPr="004F2E93">
        <w:t xml:space="preserve"> was never paid.</w:t>
      </w:r>
      <w:r w:rsidR="00071EA5">
        <w:rPr>
          <w:rStyle w:val="FootnoteReference"/>
        </w:rPr>
        <w:footnoteReference w:id="10"/>
      </w:r>
      <w:r w:rsidR="004F2E93" w:rsidRPr="004F2E93">
        <w:t xml:space="preserve"> </w:t>
      </w:r>
      <w:r w:rsidR="004F2E93">
        <w:t>The subcontractor</w:t>
      </w:r>
      <w:r w:rsidR="004F2E93" w:rsidRPr="004F2E93">
        <w:t xml:space="preserve"> alleged it contacted </w:t>
      </w:r>
      <w:r w:rsidR="004F2E93">
        <w:t>the owner</w:t>
      </w:r>
      <w:r w:rsidR="004F2E93" w:rsidRPr="004F2E93">
        <w:t xml:space="preserve"> </w:t>
      </w:r>
      <w:r w:rsidR="004F2E93">
        <w:t>and the owner promised to make sure the subcontractor was paid</w:t>
      </w:r>
      <w:r w:rsidR="004A03AD">
        <w:t>, so the subcontractor kept working</w:t>
      </w:r>
      <w:r w:rsidR="004F2E93">
        <w:t>.</w:t>
      </w:r>
      <w:r w:rsidR="00071EA5">
        <w:rPr>
          <w:rStyle w:val="FootnoteReference"/>
        </w:rPr>
        <w:footnoteReference w:id="11"/>
      </w:r>
      <w:r w:rsidR="004F2E93" w:rsidRPr="004F2E93">
        <w:t xml:space="preserve"> When the general contractor filed bankruptcy, </w:t>
      </w:r>
      <w:r w:rsidR="004F2E93">
        <w:t>the subcontractor sued the owner</w:t>
      </w:r>
      <w:r w:rsidR="004F2E93" w:rsidRPr="004F2E93">
        <w:t xml:space="preserve"> for quantum meruit.</w:t>
      </w:r>
      <w:r w:rsidR="009B1957">
        <w:rPr>
          <w:rStyle w:val="FootnoteReference"/>
        </w:rPr>
        <w:footnoteReference w:id="12"/>
      </w:r>
      <w:r w:rsidR="004F2E93" w:rsidRPr="004F2E93">
        <w:t xml:space="preserve"> On appeal, the court noted that both parties considered the contract between </w:t>
      </w:r>
      <w:r w:rsidR="004F2E93">
        <w:t>the subcontractor and the general contractor</w:t>
      </w:r>
      <w:r w:rsidR="004F2E93" w:rsidRPr="004F2E93">
        <w:t xml:space="preserve"> to be </w:t>
      </w:r>
      <w:r w:rsidR="00071EA5">
        <w:t>“</w:t>
      </w:r>
      <w:r w:rsidR="004F2E93" w:rsidRPr="004F2E93">
        <w:t xml:space="preserve">valid and in effect at the time of </w:t>
      </w:r>
      <w:r w:rsidR="004F2E93">
        <w:t>the subcontractor’s</w:t>
      </w:r>
      <w:r w:rsidR="004F2E93" w:rsidRPr="004F2E93">
        <w:t xml:space="preserve"> completion of his work under the contract.</w:t>
      </w:r>
      <w:r w:rsidR="00071EA5">
        <w:t>”</w:t>
      </w:r>
      <w:r w:rsidR="00071EA5">
        <w:rPr>
          <w:rStyle w:val="FootnoteReference"/>
        </w:rPr>
        <w:footnoteReference w:id="13"/>
      </w:r>
      <w:r w:rsidR="004F2E93" w:rsidRPr="004F2E93">
        <w:t xml:space="preserve"> The court ultimately held that, despite </w:t>
      </w:r>
      <w:r w:rsidR="004F2E93">
        <w:t>the owner’s</w:t>
      </w:r>
      <w:r w:rsidR="004F2E93" w:rsidRPr="004F2E93">
        <w:t xml:space="preserve"> promise to </w:t>
      </w:r>
      <w:r w:rsidR="00071EA5">
        <w:t>“</w:t>
      </w:r>
      <w:r w:rsidR="004F2E93" w:rsidRPr="004F2E93">
        <w:t>make sure</w:t>
      </w:r>
      <w:r w:rsidR="00071EA5">
        <w:t>”</w:t>
      </w:r>
      <w:r w:rsidR="004F2E93" w:rsidRPr="004F2E93">
        <w:t xml:space="preserve"> </w:t>
      </w:r>
      <w:r w:rsidR="004F2E93">
        <w:t>the subcontractor</w:t>
      </w:r>
      <w:r w:rsidR="004F2E93" w:rsidRPr="004F2E93">
        <w:t xml:space="preserve"> got paid, </w:t>
      </w:r>
      <w:r w:rsidR="004F2E93">
        <w:t>the express contract rule barred the subcontractor’s recovery under quantum meruit.</w:t>
      </w:r>
      <w:r w:rsidR="00071EA5">
        <w:rPr>
          <w:rStyle w:val="FootnoteReference"/>
        </w:rPr>
        <w:footnoteReference w:id="14"/>
      </w:r>
    </w:p>
    <w:p w14:paraId="63F403B3" w14:textId="45E970A6" w:rsidR="00675508" w:rsidRDefault="004D4ECB" w:rsidP="006412A8">
      <w:pPr>
        <w:jc w:val="both"/>
      </w:pPr>
      <w:r>
        <w:lastRenderedPageBreak/>
        <w:tab/>
      </w:r>
      <w:r w:rsidR="00F75AB8">
        <w:t xml:space="preserve">The same situation arose in </w:t>
      </w:r>
      <w:r w:rsidR="00F75AB8">
        <w:rPr>
          <w:i/>
          <w:iCs/>
        </w:rPr>
        <w:t>Credos Indus. Supplies &amp; Rentals LLC v. Targa Pipeline Mid-Continent Westtex LLC</w:t>
      </w:r>
      <w:r w:rsidR="00F75AB8">
        <w:t xml:space="preserve">, a Fifth Circuit case </w:t>
      </w:r>
      <w:r w:rsidR="009E7DC2">
        <w:t>stemming</w:t>
      </w:r>
      <w:r w:rsidR="00F75AB8">
        <w:t xml:space="preserve"> from the construction of a natural gas processing </w:t>
      </w:r>
      <w:r w:rsidR="00DF2023">
        <w:t xml:space="preserve">plant in </w:t>
      </w:r>
      <w:r w:rsidR="005D184A">
        <w:t>rural</w:t>
      </w:r>
      <w:r w:rsidR="00F75AB8">
        <w:t xml:space="preserve"> Texas.</w:t>
      </w:r>
      <w:r w:rsidR="00F75AB8">
        <w:rPr>
          <w:rStyle w:val="FootnoteReference"/>
        </w:rPr>
        <w:footnoteReference w:id="15"/>
      </w:r>
      <w:r w:rsidR="00F75AB8">
        <w:t xml:space="preserve"> </w:t>
      </w:r>
      <w:r w:rsidR="003C60C8">
        <w:t>The general contractor on the project became financially distressed and unable to pay many of its subcontractors.</w:t>
      </w:r>
      <w:r w:rsidR="003C60C8">
        <w:rPr>
          <w:rStyle w:val="FootnoteReference"/>
        </w:rPr>
        <w:footnoteReference w:id="16"/>
      </w:r>
      <w:r w:rsidR="003C60C8">
        <w:t xml:space="preserve"> The owner ultimately terminated the general contractor and </w:t>
      </w:r>
      <w:r w:rsidR="00D2144E">
        <w:t xml:space="preserve">directly entered into </w:t>
      </w:r>
      <w:r w:rsidR="003C60C8">
        <w:t>new contracts with many of the subcontractors on the project.</w:t>
      </w:r>
      <w:r w:rsidR="005B265B">
        <w:rPr>
          <w:rStyle w:val="FootnoteReference"/>
        </w:rPr>
        <w:footnoteReference w:id="17"/>
      </w:r>
      <w:r w:rsidR="003C60C8">
        <w:t xml:space="preserve"> The general contractor filed bankruptcy shortly thereafter.</w:t>
      </w:r>
      <w:r w:rsidR="005B265B">
        <w:rPr>
          <w:rStyle w:val="FootnoteReference"/>
        </w:rPr>
        <w:footnoteReference w:id="18"/>
      </w:r>
      <w:r w:rsidR="00D477BD">
        <w:t xml:space="preserve"> </w:t>
      </w:r>
    </w:p>
    <w:p w14:paraId="10DA2F0E" w14:textId="47DDE21F" w:rsidR="004D4ECB" w:rsidRPr="00821C0C" w:rsidRDefault="00D477BD" w:rsidP="00675508">
      <w:pPr>
        <w:ind w:firstLine="720"/>
        <w:jc w:val="both"/>
      </w:pPr>
      <w:r>
        <w:t>M</w:t>
      </w:r>
      <w:r w:rsidR="00BD54B0">
        <w:t>ultiple</w:t>
      </w:r>
      <w:r>
        <w:t xml:space="preserve"> subcontractors filed adversary proceedings against the general contractor for breach of contract and to foreclose </w:t>
      </w:r>
      <w:r w:rsidR="00675508">
        <w:t>on</w:t>
      </w:r>
      <w:r>
        <w:t xml:space="preserve"> mechanics’ liens. One subcontractor (Credos)</w:t>
      </w:r>
      <w:r w:rsidR="00675508">
        <w:t xml:space="preserve"> filed a complaint against the owner of the project for quantum meruit.</w:t>
      </w:r>
      <w:r w:rsidR="005D184A">
        <w:rPr>
          <w:rStyle w:val="FootnoteReference"/>
        </w:rPr>
        <w:footnoteReference w:id="19"/>
      </w:r>
      <w:r w:rsidR="004674EE">
        <w:t xml:space="preserve"> </w:t>
      </w:r>
      <w:r w:rsidR="00675508">
        <w:t>To avoid the express contract rule, Credos argued that its claim was based on a new agreement with the owner.</w:t>
      </w:r>
      <w:r w:rsidR="005D184A">
        <w:rPr>
          <w:rStyle w:val="FootnoteReference"/>
        </w:rPr>
        <w:footnoteReference w:id="20"/>
      </w:r>
      <w:r w:rsidR="00675508">
        <w:t xml:space="preserve"> Specifically, Credos alleged the owner promised to pay Credos’s invoices for work already performed that the general contractor</w:t>
      </w:r>
      <w:r w:rsidR="00685E8B">
        <w:t xml:space="preserve"> </w:t>
      </w:r>
      <w:r w:rsidR="00675508">
        <w:t>failed to pay.</w:t>
      </w:r>
      <w:r w:rsidR="005D184A">
        <w:rPr>
          <w:rStyle w:val="FootnoteReference"/>
        </w:rPr>
        <w:footnoteReference w:id="21"/>
      </w:r>
      <w:r w:rsidR="00675508">
        <w:t xml:space="preserve"> Credos alleged the owner paid some of the invoices, but not all, leaving a balance of over $900,000.</w:t>
      </w:r>
      <w:r w:rsidR="005D184A">
        <w:rPr>
          <w:rStyle w:val="FootnoteReference"/>
        </w:rPr>
        <w:footnoteReference w:id="22"/>
      </w:r>
      <w:r w:rsidR="00675508">
        <w:t xml:space="preserve"> The </w:t>
      </w:r>
      <w:r w:rsidR="00821C0C">
        <w:t>B</w:t>
      </w:r>
      <w:r w:rsidR="00675508">
        <w:t xml:space="preserve">ankruptcy </w:t>
      </w:r>
      <w:r w:rsidR="00821C0C">
        <w:t>C</w:t>
      </w:r>
      <w:r w:rsidR="00675508">
        <w:t>ourt dismissed Credos’s cl</w:t>
      </w:r>
      <w:r w:rsidR="00821C0C">
        <w:t xml:space="preserve">aim under Rule 12(b)(6), and Credos appealed to the District Court, which affirmed </w:t>
      </w:r>
      <w:r w:rsidR="00DF2023">
        <w:t xml:space="preserve">the </w:t>
      </w:r>
      <w:r w:rsidR="00821C0C">
        <w:t>dismissal</w:t>
      </w:r>
      <w:r w:rsidR="00DF2023">
        <w:t>. Credos</w:t>
      </w:r>
      <w:r w:rsidR="00821C0C">
        <w:t xml:space="preserve"> then </w:t>
      </w:r>
      <w:r w:rsidR="00DF2023">
        <w:t xml:space="preserve">appealed </w:t>
      </w:r>
      <w:r w:rsidR="00821C0C">
        <w:t>to the Fifth Circuit.</w:t>
      </w:r>
      <w:r w:rsidR="005D184A">
        <w:rPr>
          <w:rStyle w:val="FootnoteReference"/>
        </w:rPr>
        <w:footnoteReference w:id="23"/>
      </w:r>
      <w:r w:rsidR="00821C0C">
        <w:t xml:space="preserve"> The Fifth Circuit </w:t>
      </w:r>
      <w:r w:rsidR="00675663">
        <w:t>found</w:t>
      </w:r>
      <w:r w:rsidR="00821C0C">
        <w:t xml:space="preserve"> that (1) all of the costs Credos sought were incurred while under an express contract with the general contractor;</w:t>
      </w:r>
      <w:r w:rsidR="00675663">
        <w:rPr>
          <w:rStyle w:val="FootnoteReference"/>
        </w:rPr>
        <w:footnoteReference w:id="24"/>
      </w:r>
      <w:r w:rsidR="00821C0C">
        <w:t xml:space="preserve"> and (2) Credos’s allegations describing a “new agreement,” even if true, would also constitute an express contract for which quantum meruit was not available.</w:t>
      </w:r>
      <w:r w:rsidR="00675663">
        <w:rPr>
          <w:rStyle w:val="FootnoteReference"/>
        </w:rPr>
        <w:footnoteReference w:id="25"/>
      </w:r>
      <w:r w:rsidR="00821C0C">
        <w:t xml:space="preserve"> </w:t>
      </w:r>
      <w:r w:rsidR="00675663">
        <w:t xml:space="preserve">Accordingly, the Fifth Circuit affirmed </w:t>
      </w:r>
      <w:r w:rsidR="00144376">
        <w:t xml:space="preserve">the </w:t>
      </w:r>
      <w:r w:rsidR="00675663">
        <w:t>dismissal.</w:t>
      </w:r>
      <w:r w:rsidR="00675663">
        <w:rPr>
          <w:rStyle w:val="FootnoteReference"/>
        </w:rPr>
        <w:footnoteReference w:id="26"/>
      </w:r>
    </w:p>
    <w:p w14:paraId="60C37C5C" w14:textId="2638919C" w:rsidR="00C94FA2" w:rsidRDefault="00C94FA2" w:rsidP="006412A8">
      <w:pPr>
        <w:jc w:val="both"/>
      </w:pPr>
      <w:r>
        <w:tab/>
      </w:r>
      <w:r w:rsidR="00080CDA">
        <w:t>Texas law contains exceptions to this rule</w:t>
      </w:r>
      <w:r>
        <w:t xml:space="preserve">, but not as </w:t>
      </w:r>
      <w:r w:rsidR="00080CDA">
        <w:t xml:space="preserve">far-reaching </w:t>
      </w:r>
      <w:r>
        <w:t xml:space="preserve">as some may think. </w:t>
      </w:r>
      <w:r w:rsidR="00102B94">
        <w:t xml:space="preserve">The first two are straightforward: </w:t>
      </w:r>
      <w:r w:rsidR="001B6198">
        <w:t>plaintiffs can recover</w:t>
      </w:r>
      <w:r w:rsidR="00144376">
        <w:t xml:space="preserve"> under</w:t>
      </w:r>
      <w:r w:rsidR="001B6198">
        <w:t xml:space="preserve"> quantum meruit in spite of an express contract if (1) a plaintiff has partially performed but is prevented from completing the contract due to the defendant’s breach; or (2) a plaintiff partially performs an express contract that is unilateral in nature.</w:t>
      </w:r>
      <w:r w:rsidR="001B6198">
        <w:rPr>
          <w:rStyle w:val="FootnoteReference"/>
        </w:rPr>
        <w:footnoteReference w:id="27"/>
      </w:r>
      <w:r w:rsidR="001B6198">
        <w:t xml:space="preserve"> </w:t>
      </w:r>
      <w:r>
        <w:t xml:space="preserve">Practitioners may have </w:t>
      </w:r>
      <w:r w:rsidR="001B6198">
        <w:t xml:space="preserve">also </w:t>
      </w:r>
      <w:r w:rsidR="00080CDA">
        <w:t>seen arguments from adversaries</w:t>
      </w:r>
      <w:r>
        <w:t xml:space="preserve"> that </w:t>
      </w:r>
      <w:r w:rsidR="00080CDA">
        <w:t xml:space="preserve">Texas entertains a broad </w:t>
      </w:r>
      <w:r>
        <w:t xml:space="preserve">“construction exception” to the express contract rule. </w:t>
      </w:r>
      <w:r w:rsidR="00505765">
        <w:t>This paper will use quotes around the term because, w</w:t>
      </w:r>
      <w:r>
        <w:t xml:space="preserve">hile technically correct, the imprecision of that label </w:t>
      </w:r>
      <w:r w:rsidR="00505765">
        <w:t xml:space="preserve">could </w:t>
      </w:r>
      <w:proofErr w:type="gramStart"/>
      <w:r w:rsidR="00505765">
        <w:t>lead</w:t>
      </w:r>
      <w:proofErr w:type="gramEnd"/>
      <w:r w:rsidR="00505765">
        <w:t xml:space="preserve"> litigants astray. </w:t>
      </w:r>
      <w:r w:rsidR="00080CDA">
        <w:t>In fairness,</w:t>
      </w:r>
      <w:r w:rsidR="00A42084">
        <w:t xml:space="preserve"> who could blame them</w:t>
      </w:r>
      <w:r w:rsidR="00CF0144">
        <w:t xml:space="preserve"> after reading this passage from the Texas Supreme Court?</w:t>
      </w:r>
    </w:p>
    <w:p w14:paraId="7F3580BF" w14:textId="6F3A9E94" w:rsidR="00CF0144" w:rsidRDefault="00CF0144" w:rsidP="00CF0144">
      <w:pPr>
        <w:ind w:left="720" w:right="720"/>
        <w:jc w:val="both"/>
      </w:pPr>
      <w:r>
        <w:lastRenderedPageBreak/>
        <w:t xml:space="preserve">Generally, a party may not recover under quantum meruit when there is an express contract covering the services or materials in dispute. </w:t>
      </w:r>
      <w:r w:rsidRPr="00CF0144">
        <w:rPr>
          <w:b/>
          <w:bCs/>
        </w:rPr>
        <w:t>Construction contracts are an exception to this rule.</w:t>
      </w:r>
      <w:r w:rsidRPr="00CF0144">
        <w:rPr>
          <w:rStyle w:val="FootnoteReference"/>
        </w:rPr>
        <w:footnoteReference w:id="28"/>
      </w:r>
    </w:p>
    <w:p w14:paraId="5B127C62" w14:textId="01F3D9FE" w:rsidR="00CF0144" w:rsidRDefault="00BC200A" w:rsidP="003F2102">
      <w:pPr>
        <w:jc w:val="both"/>
      </w:pPr>
      <w:r>
        <w:t xml:space="preserve">This statement, stripped of its context, understandably causes confusion. </w:t>
      </w:r>
      <w:r w:rsidR="000A2F8B">
        <w:t xml:space="preserve">But the </w:t>
      </w:r>
      <w:r w:rsidR="003F2102">
        <w:t xml:space="preserve">well-known </w:t>
      </w:r>
      <w:r w:rsidR="000A2F8B">
        <w:t>case the court cites for this proposition</w:t>
      </w:r>
      <w:r w:rsidR="003F2102">
        <w:t xml:space="preserve">, </w:t>
      </w:r>
      <w:proofErr w:type="gramStart"/>
      <w:r w:rsidR="003F2102">
        <w:rPr>
          <w:i/>
          <w:iCs/>
        </w:rPr>
        <w:t>Truly</w:t>
      </w:r>
      <w:proofErr w:type="gramEnd"/>
      <w:r w:rsidR="003F2102">
        <w:rPr>
          <w:i/>
          <w:iCs/>
        </w:rPr>
        <w:t xml:space="preserve"> v. Austin</w:t>
      </w:r>
      <w:r w:rsidR="003F2102">
        <w:t>, states its rule more precisely:</w:t>
      </w:r>
    </w:p>
    <w:p w14:paraId="7E6A3613" w14:textId="2CE356FF" w:rsidR="003F2102" w:rsidRPr="003F2102" w:rsidRDefault="003F2102" w:rsidP="003F2102">
      <w:pPr>
        <w:ind w:left="720" w:right="720"/>
        <w:jc w:val="both"/>
      </w:pPr>
      <w:r>
        <w:t xml:space="preserve">The only Texas cases that have permitted a </w:t>
      </w:r>
      <w:r>
        <w:rPr>
          <w:i/>
          <w:iCs/>
        </w:rPr>
        <w:t xml:space="preserve">breaching </w:t>
      </w:r>
      <w:r>
        <w:t xml:space="preserve">plaintiff to recover in quantum meruit have involved building or construction contracts. In these cases, plaintiffs have been allowed to recover the reasonable value of services less any </w:t>
      </w:r>
      <w:proofErr w:type="gramStart"/>
      <w:r>
        <w:t>damages</w:t>
      </w:r>
      <w:proofErr w:type="gramEnd"/>
      <w:r>
        <w:t xml:space="preserve"> suffered by the defendant.</w:t>
      </w:r>
      <w:r>
        <w:rPr>
          <w:rStyle w:val="FootnoteReference"/>
        </w:rPr>
        <w:footnoteReference w:id="29"/>
      </w:r>
    </w:p>
    <w:p w14:paraId="636225CE" w14:textId="1228EC36" w:rsidR="00922821" w:rsidRDefault="000A2F8B" w:rsidP="003321D2">
      <w:pPr>
        <w:jc w:val="both"/>
      </w:pPr>
      <w:r>
        <w:tab/>
      </w:r>
      <w:r w:rsidR="003321D2">
        <w:t xml:space="preserve">In other words, Texas law recognizes an exception to the express contract rule that can </w:t>
      </w:r>
      <w:r w:rsidR="003321D2" w:rsidRPr="003321D2">
        <w:t>only</w:t>
      </w:r>
      <w:r w:rsidR="003321D2">
        <w:rPr>
          <w:i/>
          <w:iCs/>
        </w:rPr>
        <w:t xml:space="preserve"> </w:t>
      </w:r>
      <w:r w:rsidR="003321D2">
        <w:t xml:space="preserve">arise in construction cases, but not one that applies to every construction case writ large. The exception </w:t>
      </w:r>
      <w:r w:rsidR="00144376">
        <w:t>only applies</w:t>
      </w:r>
      <w:r w:rsidR="003321D2">
        <w:t xml:space="preserve"> to a narrow subset of construction cases in which a party to a construction contract breaches the contract and stops performance.</w:t>
      </w:r>
      <w:r w:rsidR="003321D2">
        <w:rPr>
          <w:rStyle w:val="FootnoteReference"/>
        </w:rPr>
        <w:footnoteReference w:id="30"/>
      </w:r>
      <w:r w:rsidR="003321D2">
        <w:t xml:space="preserve"> In that </w:t>
      </w:r>
      <w:r w:rsidR="001A5C4E">
        <w:t xml:space="preserve">limited </w:t>
      </w:r>
      <w:r w:rsidR="003321D2">
        <w:t>scenario, th</w:t>
      </w:r>
      <w:r w:rsidR="001A5C4E">
        <w:t>e breaching</w:t>
      </w:r>
      <w:r w:rsidR="003321D2">
        <w:t xml:space="preserve"> party can assert a quantum meruit claim to recover the reasonable value of the services it provided before it stopped performance, but only after deducting the damages suffered by the other party resulting from the breach.</w:t>
      </w:r>
      <w:r w:rsidR="003321D2">
        <w:rPr>
          <w:rStyle w:val="FootnoteReference"/>
        </w:rPr>
        <w:footnoteReference w:id="31"/>
      </w:r>
      <w:r w:rsidR="003321D2">
        <w:t xml:space="preserve"> </w:t>
      </w:r>
      <w:r w:rsidR="00943A6F">
        <w:t>Otherwise, the express contract rule will continue to bar any quantum meruit claim.</w:t>
      </w:r>
    </w:p>
    <w:p w14:paraId="7F393F69" w14:textId="45BBBC13" w:rsidR="00922821" w:rsidRDefault="00922821" w:rsidP="003321D2">
      <w:pPr>
        <w:jc w:val="both"/>
      </w:pPr>
      <w:r>
        <w:tab/>
        <w:t xml:space="preserve">Parties seeking to establish a convincing quantum meruit claim should take this issue into account when </w:t>
      </w:r>
      <w:proofErr w:type="gramStart"/>
      <w:r>
        <w:t>pleading</w:t>
      </w:r>
      <w:proofErr w:type="gramEnd"/>
      <w:r>
        <w:t xml:space="preserve"> their cause of action. But parties should also be careful before getting too creative with their petitions or complaints</w:t>
      </w:r>
      <w:r w:rsidR="001A5C4E">
        <w:t xml:space="preserve"> just to get around the rule</w:t>
      </w:r>
      <w:r>
        <w:t xml:space="preserve">. As just one example, construction payment disputes often involve a mechanic’s or </w:t>
      </w:r>
      <w:proofErr w:type="gramStart"/>
      <w:r>
        <w:t>materialman’s</w:t>
      </w:r>
      <w:proofErr w:type="gramEnd"/>
      <w:r>
        <w:t xml:space="preserve"> </w:t>
      </w:r>
      <w:proofErr w:type="gramStart"/>
      <w:r>
        <w:t>lien</w:t>
      </w:r>
      <w:proofErr w:type="gramEnd"/>
      <w:r>
        <w:t xml:space="preserve"> under Chapter 53 of the Texas Property Code. Such liens are only available to persons who perform their work “under a contract with the owner or the owner’s agent, trustee, receiver, contractor, or subcontractor.”</w:t>
      </w:r>
      <w:r>
        <w:rPr>
          <w:rStyle w:val="FootnoteReference"/>
        </w:rPr>
        <w:footnoteReference w:id="32"/>
      </w:r>
      <w:r>
        <w:t xml:space="preserve"> </w:t>
      </w:r>
      <w:r w:rsidR="001A5C4E">
        <w:t>Lien</w:t>
      </w:r>
      <w:r w:rsidR="00F90356">
        <w:t xml:space="preserve"> affidavits often</w:t>
      </w:r>
      <w:r w:rsidR="005E2313">
        <w:t xml:space="preserve">—if </w:t>
      </w:r>
      <w:r w:rsidR="00F90356">
        <w:t xml:space="preserve">not </w:t>
      </w:r>
      <w:r w:rsidR="005E2313">
        <w:t xml:space="preserve">always—state </w:t>
      </w:r>
      <w:r w:rsidR="00F90356">
        <w:t>that the lien claimant performed services under contract</w:t>
      </w:r>
      <w:r w:rsidR="00913CDC">
        <w:t>. If a claimant signs a lien affidavit under penalty of perjury but</w:t>
      </w:r>
      <w:r w:rsidR="00F90356">
        <w:t xml:space="preserve"> later seeks to disavow an express contract to assert a quantum meruit claim for </w:t>
      </w:r>
      <w:r w:rsidR="004E7BE2">
        <w:t xml:space="preserve">the same work claimed in its </w:t>
      </w:r>
      <w:proofErr w:type="gramStart"/>
      <w:r w:rsidR="004E7BE2">
        <w:t>lien</w:t>
      </w:r>
      <w:proofErr w:type="gramEnd"/>
      <w:r w:rsidR="00F90356">
        <w:t xml:space="preserve">, that </w:t>
      </w:r>
      <w:r w:rsidR="001A5C4E">
        <w:t>creates an obvious problem</w:t>
      </w:r>
      <w:r w:rsidR="00F90356">
        <w:t xml:space="preserve">. </w:t>
      </w:r>
      <w:r w:rsidR="001A5C4E">
        <w:t xml:space="preserve">While the existence of an express contract is a question of law that a party cannot judicially admit, the contradiction </w:t>
      </w:r>
      <w:proofErr w:type="gramStart"/>
      <w:r w:rsidR="001A5C4E">
        <w:t>could</w:t>
      </w:r>
      <w:r w:rsidR="00F90356">
        <w:t xml:space="preserve">  </w:t>
      </w:r>
      <w:r w:rsidR="001A5C4E">
        <w:t>nonetheless</w:t>
      </w:r>
      <w:proofErr w:type="gramEnd"/>
      <w:r w:rsidR="001A5C4E">
        <w:t xml:space="preserve"> </w:t>
      </w:r>
      <w:r w:rsidR="00F90356">
        <w:t>create significant credibility issues in the eyes of a factfinder.</w:t>
      </w:r>
      <w:r w:rsidR="005E3430">
        <w:rPr>
          <w:rStyle w:val="FootnoteReference"/>
        </w:rPr>
        <w:footnoteReference w:id="33"/>
      </w:r>
      <w:r w:rsidR="00913CDC">
        <w:t xml:space="preserve"> Parties should consider issues like this carefully as part of the process of developing and pleading their initial claims.</w:t>
      </w:r>
    </w:p>
    <w:p w14:paraId="48CE2BC6" w14:textId="77777777" w:rsidR="00E0458C" w:rsidRDefault="00E0458C" w:rsidP="003321D2">
      <w:pPr>
        <w:jc w:val="both"/>
      </w:pPr>
    </w:p>
    <w:p w14:paraId="3C83BC0D" w14:textId="77777777" w:rsidR="00E0458C" w:rsidRDefault="00E0458C" w:rsidP="003321D2">
      <w:pPr>
        <w:jc w:val="both"/>
      </w:pPr>
    </w:p>
    <w:p w14:paraId="5BA2FCC9" w14:textId="41957348" w:rsidR="00E75069" w:rsidRDefault="00EB31FB" w:rsidP="00E75069">
      <w:pPr>
        <w:pStyle w:val="ListParagraph"/>
        <w:numPr>
          <w:ilvl w:val="1"/>
          <w:numId w:val="10"/>
        </w:numPr>
        <w:jc w:val="both"/>
        <w:rPr>
          <w:b/>
          <w:bCs/>
        </w:rPr>
      </w:pPr>
      <w:proofErr w:type="gramStart"/>
      <w:r w:rsidRPr="0020013C">
        <w:rPr>
          <w:b/>
          <w:bCs/>
        </w:rPr>
        <w:lastRenderedPageBreak/>
        <w:t>“Direct Link” Requirement</w:t>
      </w:r>
      <w:proofErr w:type="gramEnd"/>
    </w:p>
    <w:p w14:paraId="2B097877" w14:textId="77777777" w:rsidR="00EF3A22" w:rsidRPr="0020013C" w:rsidRDefault="00EF3A22" w:rsidP="0020013C">
      <w:pPr>
        <w:pStyle w:val="ListParagraph"/>
        <w:spacing w:after="0"/>
        <w:ind w:left="2520"/>
        <w:jc w:val="both"/>
        <w:rPr>
          <w:b/>
          <w:bCs/>
        </w:rPr>
      </w:pPr>
    </w:p>
    <w:p w14:paraId="175BDD40" w14:textId="16D0026B" w:rsidR="00E75069" w:rsidRDefault="00447DA4" w:rsidP="00447DA4">
      <w:pPr>
        <w:ind w:firstLine="720"/>
        <w:jc w:val="both"/>
      </w:pPr>
      <w:r>
        <w:t>Even if a plaintiff can plead</w:t>
      </w:r>
      <w:r w:rsidR="001A5C4E">
        <w:t xml:space="preserve"> its</w:t>
      </w:r>
      <w:r>
        <w:t xml:space="preserve"> way around the express contract rule, </w:t>
      </w:r>
      <w:r w:rsidR="001A5C4E">
        <w:t>its</w:t>
      </w:r>
      <w:r w:rsidR="00821592">
        <w:t xml:space="preserve"> </w:t>
      </w:r>
      <w:r w:rsidR="00FC46B1">
        <w:t>claim will falter if they cannot establish that its efforts were undertaken “for the person sought to be charged.”</w:t>
      </w:r>
      <w:r w:rsidR="00FC46B1">
        <w:rPr>
          <w:rStyle w:val="FootnoteReference"/>
        </w:rPr>
        <w:footnoteReference w:id="34"/>
      </w:r>
      <w:r w:rsidR="00FC46B1">
        <w:t xml:space="preserve"> In other words, “it is not enough to show that [a plaintiff’s] efforts benefited the defendant.” Instead, a plaintiff must show it performed services directly for the defendant from which it now seeks to recover.</w:t>
      </w:r>
      <w:r w:rsidR="00FC46B1">
        <w:rPr>
          <w:rStyle w:val="FootnoteReference"/>
        </w:rPr>
        <w:footnoteReference w:id="35"/>
      </w:r>
      <w:r w:rsidR="00FC46B1">
        <w:t xml:space="preserve"> </w:t>
      </w:r>
      <w:r w:rsidR="001A5C4E">
        <w:t>W</w:t>
      </w:r>
      <w:r w:rsidR="006658F1">
        <w:t xml:space="preserve">hile an owner may enjoy a “benefit” from a subcontractor’s work on a construction project, the owner cannot be liable under quantum meruit unless the subcontractor, at the time it provided the work, notified the owner that the subcontractor expected payment </w:t>
      </w:r>
      <w:r w:rsidR="006658F1">
        <w:rPr>
          <w:i/>
          <w:iCs/>
        </w:rPr>
        <w:t>from the owner</w:t>
      </w:r>
      <w:r w:rsidR="006658F1">
        <w:t>.</w:t>
      </w:r>
      <w:r w:rsidR="00B86376">
        <w:rPr>
          <w:rStyle w:val="FootnoteReference"/>
        </w:rPr>
        <w:footnoteReference w:id="36"/>
      </w:r>
      <w:r w:rsidR="00B86376">
        <w:t xml:space="preserve"> </w:t>
      </w:r>
      <w:r w:rsidR="00B103CB">
        <w:t>This requirement sometimes surprises litigants, because on a construction project, owners almost always understand that the subcontractor contributing to the project expect</w:t>
      </w:r>
      <w:r w:rsidR="00367C11">
        <w:t>s</w:t>
      </w:r>
      <w:r w:rsidR="00B103CB">
        <w:t xml:space="preserve"> to be paid for its work. And after all, the owner of the project is the ultimate beneficiary of the work, so how could the owner be a mere “incidental” beneficiary? </w:t>
      </w:r>
    </w:p>
    <w:p w14:paraId="3DC93CE8" w14:textId="41E01D09" w:rsidR="001F59DA" w:rsidRPr="00524147" w:rsidRDefault="001F59DA" w:rsidP="00447DA4">
      <w:pPr>
        <w:ind w:firstLine="720"/>
        <w:jc w:val="both"/>
      </w:pPr>
      <w:r>
        <w:t xml:space="preserve">That argument, though perhaps understandable, is not the law. </w:t>
      </w:r>
      <w:r w:rsidR="00367C11">
        <w:t>For instance, i</w:t>
      </w:r>
      <w:r>
        <w:t xml:space="preserve">n </w:t>
      </w:r>
      <w:r>
        <w:rPr>
          <w:i/>
          <w:iCs/>
        </w:rPr>
        <w:t>Heldenfels v. City of Corpus Christi</w:t>
      </w:r>
      <w:r>
        <w:t>, a subcontractor sought damages from the City in quantum meruit after the general contractor filed bankruptcy.</w:t>
      </w:r>
      <w:r>
        <w:rPr>
          <w:rStyle w:val="FootnoteReference"/>
        </w:rPr>
        <w:footnoteReference w:id="37"/>
      </w:r>
      <w:r>
        <w:t xml:space="preserve"> The subcontractor testified that he would have been “greatly surprised” if the City was not aware of his expectation of payment before he began work on the project.</w:t>
      </w:r>
      <w:r>
        <w:rPr>
          <w:rStyle w:val="FootnoteReference"/>
        </w:rPr>
        <w:footnoteReference w:id="38"/>
      </w:r>
      <w:r>
        <w:t xml:space="preserve"> The Texas Supreme Court stated this testimony provided “no evidence that the City had notice that [the subcontractor] anticipated payment </w:t>
      </w:r>
      <w:r w:rsidRPr="0020013C">
        <w:rPr>
          <w:i/>
          <w:iCs/>
        </w:rPr>
        <w:t>from the City</w:t>
      </w:r>
      <w:r>
        <w:t>” before the subcontractor delivered materials to the project.</w:t>
      </w:r>
      <w:r>
        <w:rPr>
          <w:rStyle w:val="FootnoteReference"/>
        </w:rPr>
        <w:footnoteReference w:id="39"/>
      </w:r>
      <w:r w:rsidR="008B425F">
        <w:t xml:space="preserve"> The court therefore affirmed a take-nothing judgment on the subcontractor’s quantum meruit claim.</w:t>
      </w:r>
      <w:r w:rsidR="008B425F">
        <w:rPr>
          <w:rStyle w:val="FootnoteReference"/>
        </w:rPr>
        <w:footnoteReference w:id="40"/>
      </w:r>
      <w:r w:rsidR="005B0234">
        <w:t xml:space="preserve"> Appellate courts have reliably applied </w:t>
      </w:r>
      <w:r w:rsidR="005B0234">
        <w:rPr>
          <w:i/>
          <w:iCs/>
        </w:rPr>
        <w:t>Heldenfels</w:t>
      </w:r>
      <w:r w:rsidR="005B0234">
        <w:t xml:space="preserve"> to bar claims by a plaintiff seeking to recover in quantum meruit against a</w:t>
      </w:r>
      <w:r w:rsidR="00CA6EAC">
        <w:t>ny</w:t>
      </w:r>
      <w:r w:rsidR="005B0234">
        <w:t xml:space="preserve"> party that was not the originally contemplated payor.</w:t>
      </w:r>
      <w:r w:rsidR="005B0234">
        <w:rPr>
          <w:rStyle w:val="FootnoteReference"/>
        </w:rPr>
        <w:footnoteReference w:id="41"/>
      </w:r>
      <w:r w:rsidR="00524147">
        <w:t xml:space="preserve"> This factor also played a pivotal role in </w:t>
      </w:r>
      <w:r w:rsidR="00524147">
        <w:rPr>
          <w:i/>
          <w:iCs/>
        </w:rPr>
        <w:t>Credos</w:t>
      </w:r>
      <w:r w:rsidR="00524147">
        <w:t>, although the appellate court affirmed on alternative grounds.</w:t>
      </w:r>
      <w:r w:rsidR="00524147">
        <w:rPr>
          <w:rStyle w:val="FootnoteReference"/>
        </w:rPr>
        <w:footnoteReference w:id="42"/>
      </w:r>
      <w:r w:rsidR="00524147">
        <w:t xml:space="preserve"> The district court affirmed dismissal in part because “Credos did not allege any facts to support an inference that it notified [the owner], </w:t>
      </w:r>
      <w:r w:rsidR="00524147">
        <w:rPr>
          <w:i/>
          <w:iCs/>
        </w:rPr>
        <w:t xml:space="preserve">before </w:t>
      </w:r>
      <w:r w:rsidR="00524147">
        <w:t xml:space="preserve">beginning work,” that it “expected to be paid” </w:t>
      </w:r>
      <w:r w:rsidR="00524147">
        <w:lastRenderedPageBreak/>
        <w:t>by the owner.</w:t>
      </w:r>
      <w:r w:rsidR="00BD2C85">
        <w:t xml:space="preserve"> As a result, the district court determined Credos’s quantum meruit claim failed even if the express contract rule did not bar </w:t>
      </w:r>
      <w:r w:rsidR="00CF78C9">
        <w:t>it</w:t>
      </w:r>
      <w:r w:rsidR="00BD2C85">
        <w:t>.</w:t>
      </w:r>
      <w:r w:rsidR="00BD2C85">
        <w:rPr>
          <w:rStyle w:val="FootnoteReference"/>
        </w:rPr>
        <w:footnoteReference w:id="43"/>
      </w:r>
    </w:p>
    <w:p w14:paraId="5E498B64" w14:textId="3CB5294B" w:rsidR="0078580D" w:rsidRDefault="00367C11" w:rsidP="00447DA4">
      <w:pPr>
        <w:ind w:firstLine="720"/>
        <w:jc w:val="both"/>
      </w:pPr>
      <w:r>
        <w:t>Parties</w:t>
      </w:r>
      <w:r w:rsidR="0078580D">
        <w:t xml:space="preserve"> not in direct contractual privity </w:t>
      </w:r>
      <w:r w:rsidR="00770D7D">
        <w:t xml:space="preserve">with the target of their quantum meruit claims </w:t>
      </w:r>
      <w:r w:rsidR="0078580D">
        <w:t>can</w:t>
      </w:r>
      <w:r w:rsidR="005B0234">
        <w:t xml:space="preserve"> sometimes</w:t>
      </w:r>
      <w:r w:rsidR="0078580D">
        <w:t xml:space="preserve"> </w:t>
      </w:r>
      <w:r w:rsidR="005B0234">
        <w:t xml:space="preserve">establish </w:t>
      </w:r>
      <w:r w:rsidR="0078580D">
        <w:t>a direct link under the right facts</w:t>
      </w:r>
      <w:r>
        <w:t>.</w:t>
      </w:r>
      <w:r w:rsidR="005E3430">
        <w:t xml:space="preserve"> </w:t>
      </w:r>
      <w:r w:rsidR="005E3430">
        <w:rPr>
          <w:i/>
          <w:iCs/>
        </w:rPr>
        <w:t>Skyline Commercial, Inc. v. ISC Acquisition Corp.</w:t>
      </w:r>
      <w:r w:rsidR="005E3430">
        <w:t xml:space="preserve"> provides an illustrative example.</w:t>
      </w:r>
      <w:r w:rsidR="00D174C7">
        <w:t xml:space="preserve"> Skyline, the general contractor of a student housing project, </w:t>
      </w:r>
      <w:proofErr w:type="gramStart"/>
      <w:r w:rsidR="00D174C7">
        <w:t xml:space="preserve">entered </w:t>
      </w:r>
      <w:r>
        <w:t>into</w:t>
      </w:r>
      <w:proofErr w:type="gramEnd"/>
      <w:r>
        <w:t xml:space="preserve"> </w:t>
      </w:r>
      <w:r w:rsidR="00D174C7">
        <w:t>a subcontract with Norwegian Drywall for the drywall scope of the project.</w:t>
      </w:r>
      <w:r w:rsidR="00D174C7">
        <w:rPr>
          <w:rStyle w:val="FootnoteReference"/>
        </w:rPr>
        <w:footnoteReference w:id="44"/>
      </w:r>
      <w:r w:rsidR="00D174C7">
        <w:t xml:space="preserve"> Norwegian, in turn, ordered drywall materials from ISC.</w:t>
      </w:r>
      <w:r w:rsidR="00D174C7">
        <w:rPr>
          <w:rStyle w:val="FootnoteReference"/>
        </w:rPr>
        <w:footnoteReference w:id="45"/>
      </w:r>
      <w:r w:rsidR="00D174C7">
        <w:t xml:space="preserve"> After several months of difficulty, Norwegian</w:t>
      </w:r>
      <w:r w:rsidR="00777CD0">
        <w:t xml:space="preserve"> left the project. Skyline began paying Norwegian’s project representative directly and directed him to “keep the project going.”</w:t>
      </w:r>
      <w:r w:rsidR="00777CD0">
        <w:rPr>
          <w:rStyle w:val="FootnoteReference"/>
        </w:rPr>
        <w:footnoteReference w:id="46"/>
      </w:r>
      <w:r w:rsidR="00777CD0">
        <w:t xml:space="preserve"> The representative therefore continued to order materials from ISC with the understanding that Skyline was “paying the bills.”</w:t>
      </w:r>
      <w:r w:rsidR="00777CD0">
        <w:rPr>
          <w:rStyle w:val="FootnoteReference"/>
        </w:rPr>
        <w:footnoteReference w:id="47"/>
      </w:r>
      <w:r w:rsidR="00777CD0">
        <w:t xml:space="preserve"> When Skyline refused to pay ISC for any materials delivered after Norwegian left the project, ISC sued Skyline for quantum meruit</w:t>
      </w:r>
      <w:r>
        <w:t>,</w:t>
      </w:r>
      <w:r w:rsidR="00777CD0">
        <w:t xml:space="preserve"> seeking the value of the materials provided.</w:t>
      </w:r>
      <w:r w:rsidR="00777CD0">
        <w:rPr>
          <w:rStyle w:val="FootnoteReference"/>
        </w:rPr>
        <w:footnoteReference w:id="48"/>
      </w:r>
      <w:r w:rsidR="00777CD0">
        <w:t xml:space="preserve"> A jury awarded ISC $66,000 in damages against Skyline, and Skyline appealed. The court of appeals affirmed, finding “more than a scintilla of evidence” that when ISC delivered its materials, Skyline accepted them “under such circumstances as reasonably notified it that ISC would expect Skyline to pay for the materials.”</w:t>
      </w:r>
      <w:r w:rsidR="00777CD0">
        <w:rPr>
          <w:rStyle w:val="FootnoteReference"/>
        </w:rPr>
        <w:footnoteReference w:id="49"/>
      </w:r>
      <w:r w:rsidR="00777CD0">
        <w:t xml:space="preserve"> </w:t>
      </w:r>
    </w:p>
    <w:p w14:paraId="027E592D" w14:textId="0CFDFAAA" w:rsidR="00DC375C" w:rsidRDefault="00DC375C" w:rsidP="00447DA4">
      <w:pPr>
        <w:ind w:firstLine="720"/>
        <w:jc w:val="both"/>
      </w:pPr>
      <w:r>
        <w:t xml:space="preserve">The </w:t>
      </w:r>
      <w:r>
        <w:rPr>
          <w:i/>
          <w:iCs/>
        </w:rPr>
        <w:t xml:space="preserve">ISC </w:t>
      </w:r>
      <w:r>
        <w:t>case is particularly interesting because multiple ISC personnel testified that they had no idea Skyline had taken over Norwegian’s work. ISC’s office manager thought Norwegian, not Skyline, was ISC’s customer, and its accounts payable manager continued to list Norwegian as the payor on ISC’s invoices.</w:t>
      </w:r>
      <w:r w:rsidR="00CA6EAC">
        <w:rPr>
          <w:rStyle w:val="FootnoteReference"/>
        </w:rPr>
        <w:footnoteReference w:id="50"/>
      </w:r>
      <w:r>
        <w:t xml:space="preserve"> The court of appeals deemed this evidence “irrelevant,” stating “notice element focuses on what Skyline, not ISC, knew or should have known at the time Skyline accepted the materials.”</w:t>
      </w:r>
      <w:r>
        <w:rPr>
          <w:rStyle w:val="FootnoteReference"/>
        </w:rPr>
        <w:footnoteReference w:id="51"/>
      </w:r>
      <w:r>
        <w:t xml:space="preserve"> In other words, evidence regarding the “direct link” element of quantum meruit should focus on the defendant’s state of mind, rather than the plaintiff’s. </w:t>
      </w:r>
    </w:p>
    <w:p w14:paraId="746EBA93" w14:textId="0BEBFAA7" w:rsidR="00745BDD" w:rsidRPr="00745BDD" w:rsidRDefault="00745BDD" w:rsidP="00447DA4">
      <w:pPr>
        <w:ind w:firstLine="720"/>
        <w:jc w:val="both"/>
      </w:pPr>
      <w:r>
        <w:t xml:space="preserve">Careful readers might notice substantial similarities between the </w:t>
      </w:r>
      <w:r>
        <w:rPr>
          <w:i/>
          <w:iCs/>
        </w:rPr>
        <w:t xml:space="preserve">ISC </w:t>
      </w:r>
      <w:r>
        <w:t xml:space="preserve">and </w:t>
      </w:r>
      <w:r>
        <w:rPr>
          <w:i/>
          <w:iCs/>
        </w:rPr>
        <w:t xml:space="preserve">Credos </w:t>
      </w:r>
      <w:r>
        <w:t>cases. After all, the plaintiffs’ counterpart</w:t>
      </w:r>
      <w:r w:rsidR="00BD2C85">
        <w:t>ies</w:t>
      </w:r>
      <w:r>
        <w:t xml:space="preserve"> in both cases left their respective projects, </w:t>
      </w:r>
      <w:r w:rsidR="00BD2C85">
        <w:t>and both plaintiffs agreed to continue performing with the expectation of receiving payment from the party requesting performance</w:t>
      </w:r>
      <w:r>
        <w:t xml:space="preserve">. In both cases, the plaintiffs sued after the </w:t>
      </w:r>
      <w:r w:rsidR="00BA1028">
        <w:t>requesting</w:t>
      </w:r>
      <w:r>
        <w:t xml:space="preserve"> party refused to pay the plaintiff’s outstanding invoices. But ISC prevailed on its claim, and Credos did not. The reason </w:t>
      </w:r>
      <w:r w:rsidR="0014714E">
        <w:t>likely</w:t>
      </w:r>
      <w:r w:rsidR="00CA6EAC">
        <w:t xml:space="preserve"> </w:t>
      </w:r>
      <w:r>
        <w:t xml:space="preserve">comes down to timing. </w:t>
      </w:r>
      <w:r w:rsidR="00524147">
        <w:t xml:space="preserve">Credos alleged that after the general contractor left the project, the owner promised to pay for work Credos had </w:t>
      </w:r>
      <w:r w:rsidR="00524147">
        <w:rPr>
          <w:i/>
          <w:iCs/>
        </w:rPr>
        <w:t>already performed</w:t>
      </w:r>
      <w:r w:rsidR="00524147">
        <w:t xml:space="preserve"> for the general contractor.</w:t>
      </w:r>
      <w:r w:rsidR="00AB60C9">
        <w:rPr>
          <w:rStyle w:val="FootnoteReference"/>
        </w:rPr>
        <w:footnoteReference w:id="52"/>
      </w:r>
      <w:r w:rsidR="00524147">
        <w:t xml:space="preserve"> By contrast, ISC sought </w:t>
      </w:r>
      <w:r w:rsidR="00524147">
        <w:lastRenderedPageBreak/>
        <w:t xml:space="preserve">payment for materials delivered </w:t>
      </w:r>
      <w:r w:rsidR="00524147">
        <w:rPr>
          <w:i/>
          <w:iCs/>
        </w:rPr>
        <w:t xml:space="preserve">after </w:t>
      </w:r>
      <w:r w:rsidR="00524147">
        <w:t xml:space="preserve">Norwegian abandoned the project. These two cases, and their starkly different results, illustrate how a successful quantum meruit claim depends highly on the facts, and </w:t>
      </w:r>
      <w:r w:rsidR="0021724B">
        <w:t xml:space="preserve">demonstrates </w:t>
      </w:r>
      <w:r w:rsidR="00524147">
        <w:t xml:space="preserve">how </w:t>
      </w:r>
      <w:r w:rsidR="0021724B">
        <w:t>parties</w:t>
      </w:r>
      <w:r w:rsidR="00524147">
        <w:t xml:space="preserve"> should </w:t>
      </w:r>
      <w:r w:rsidR="0021724B">
        <w:t xml:space="preserve">carefully </w:t>
      </w:r>
      <w:r w:rsidR="00524147">
        <w:t>plead and prove them if they want to obtain a successful outcome.</w:t>
      </w:r>
    </w:p>
    <w:p w14:paraId="29523F8E" w14:textId="02BA4470" w:rsidR="00EB31FB" w:rsidRPr="0020013C" w:rsidRDefault="00EB31FB" w:rsidP="00EB31FB">
      <w:pPr>
        <w:pStyle w:val="ListParagraph"/>
        <w:numPr>
          <w:ilvl w:val="0"/>
          <w:numId w:val="10"/>
        </w:numPr>
        <w:jc w:val="both"/>
        <w:rPr>
          <w:b/>
          <w:bCs/>
        </w:rPr>
      </w:pPr>
      <w:r w:rsidRPr="0020013C">
        <w:rPr>
          <w:b/>
          <w:bCs/>
        </w:rPr>
        <w:t>Damages</w:t>
      </w:r>
    </w:p>
    <w:p w14:paraId="7CEC811E" w14:textId="2A564376" w:rsidR="002360DE" w:rsidRDefault="002360DE" w:rsidP="002360DE">
      <w:pPr>
        <w:ind w:firstLine="720"/>
        <w:jc w:val="both"/>
      </w:pPr>
      <w:r>
        <w:t xml:space="preserve">Because quantum meruit is often appended to pleadings as an afterthought, parties </w:t>
      </w:r>
      <w:r w:rsidR="00396EF7">
        <w:t>may</w:t>
      </w:r>
      <w:r>
        <w:t xml:space="preserve"> not spend time considering whether the </w:t>
      </w:r>
      <w:proofErr w:type="gramStart"/>
      <w:r>
        <w:t>damages</w:t>
      </w:r>
      <w:proofErr w:type="gramEnd"/>
      <w:r>
        <w:t xml:space="preserve"> sought in their petition</w:t>
      </w:r>
      <w:r w:rsidR="00025D77">
        <w:t>s</w:t>
      </w:r>
      <w:r>
        <w:t xml:space="preserve"> or complaint</w:t>
      </w:r>
      <w:r w:rsidR="00025D77">
        <w:t>s</w:t>
      </w:r>
      <w:r>
        <w:t xml:space="preserve"> fall within the scope of relief quantum meruit can provide.</w:t>
      </w:r>
      <w:r w:rsidR="00025D77">
        <w:t xml:space="preserve"> </w:t>
      </w:r>
      <w:r w:rsidR="00396EF7">
        <w:t>P</w:t>
      </w:r>
      <w:r w:rsidR="00025D77">
        <w:t xml:space="preserve">arties may not expect their quantum meruit claim, usually plead in the alternative, to reach the factfinder for verdict or judgment. But the volume of case law resolving quantum meruit claims in construction disputes suggests the issue gets across the finish line more often than some may anticipate. Moreover, a viable quantum meruit claim at mediation, like any other, will need to include a credible and understandable damage model to convince a counterparty that the risk inherent in such a claim justifies settlement. </w:t>
      </w:r>
      <w:r w:rsidR="002C3C22">
        <w:t xml:space="preserve">Thus, parties should consider a method of calculating quantum meruit </w:t>
      </w:r>
      <w:proofErr w:type="gramStart"/>
      <w:r w:rsidR="002C3C22">
        <w:t>damages</w:t>
      </w:r>
      <w:proofErr w:type="gramEnd"/>
      <w:r w:rsidR="002C3C22">
        <w:t xml:space="preserve"> as early possible in any construction dispute.</w:t>
      </w:r>
    </w:p>
    <w:p w14:paraId="7766575B" w14:textId="4BF19726" w:rsidR="002C3C22" w:rsidRDefault="002C3C22" w:rsidP="002360DE">
      <w:pPr>
        <w:ind w:firstLine="720"/>
        <w:jc w:val="both"/>
      </w:pPr>
      <w:r>
        <w:t>Parties prevailing under quantum meruit are entitled to recover “the reasonable value of the services rendered or materials furnished.”</w:t>
      </w:r>
      <w:r>
        <w:rPr>
          <w:rStyle w:val="FootnoteReference"/>
        </w:rPr>
        <w:footnoteReference w:id="53"/>
      </w:r>
      <w:r>
        <w:t xml:space="preserve"> As in </w:t>
      </w:r>
      <w:r>
        <w:rPr>
          <w:i/>
          <w:iCs/>
        </w:rPr>
        <w:t>McGinty v. Hennen</w:t>
      </w:r>
      <w:r w:rsidRPr="00DB7EA2">
        <w:rPr>
          <w:rStyle w:val="FootnoteReference"/>
        </w:rPr>
        <w:footnoteReference w:id="54"/>
      </w:r>
      <w:r>
        <w:rPr>
          <w:i/>
          <w:iCs/>
        </w:rPr>
        <w:t xml:space="preserve"> </w:t>
      </w:r>
      <w:r>
        <w:t xml:space="preserve">and </w:t>
      </w:r>
      <w:r>
        <w:rPr>
          <w:i/>
          <w:iCs/>
        </w:rPr>
        <w:t>Mustang Pipeline</w:t>
      </w:r>
      <w:r w:rsidR="00DB7EA2">
        <w:rPr>
          <w:i/>
          <w:iCs/>
        </w:rPr>
        <w:t xml:space="preserve"> Co. v. Driver Pipeline Co.</w:t>
      </w:r>
      <w:r>
        <w:t>,</w:t>
      </w:r>
      <w:r>
        <w:rPr>
          <w:rStyle w:val="FootnoteReference"/>
        </w:rPr>
        <w:footnoteReference w:id="55"/>
      </w:r>
      <w:r>
        <w:t xml:space="preserve"> this does not </w:t>
      </w:r>
      <w:r w:rsidR="00DB7EA2">
        <w:t xml:space="preserve">simply </w:t>
      </w:r>
      <w:r>
        <w:t>mean the amounts billed or invoiced for the work.</w:t>
      </w:r>
      <w:r>
        <w:rPr>
          <w:rStyle w:val="FootnoteReference"/>
        </w:rPr>
        <w:footnoteReference w:id="56"/>
      </w:r>
      <w:r>
        <w:t xml:space="preserve"> </w:t>
      </w:r>
      <w:r w:rsidR="00DB7EA2">
        <w:t>Quantum meruit damages also should not be based on what one party allegedly agreed to pay another.</w:t>
      </w:r>
      <w:r w:rsidR="00FB2355">
        <w:rPr>
          <w:rStyle w:val="FootnoteReference"/>
        </w:rPr>
        <w:footnoteReference w:id="57"/>
      </w:r>
      <w:r w:rsidR="00DB7EA2">
        <w:t xml:space="preserve"> The reason for this is simple: if </w:t>
      </w:r>
      <w:r w:rsidR="00FB2355">
        <w:t xml:space="preserve">a quantum meruit claim cannot exist alongside an express contract, then using an express contract to calculate damages </w:t>
      </w:r>
      <w:r w:rsidR="00FD13E6">
        <w:t>makes no sense</w:t>
      </w:r>
      <w:r w:rsidR="00A92682">
        <w:t>.</w:t>
      </w:r>
      <w:r w:rsidR="00FD13E6">
        <w:t xml:space="preserve"> C</w:t>
      </w:r>
      <w:r w:rsidR="00FB2355">
        <w:t xml:space="preserve">ourts have not hesitated to </w:t>
      </w:r>
      <w:r w:rsidR="00FD13E6">
        <w:t>pour plaintiffs out on a quantum meruit claim where they have tried to use a contract to calculate their damages</w:t>
      </w:r>
      <w:r w:rsidR="00FB2355">
        <w:t>.</w:t>
      </w:r>
      <w:r w:rsidR="00FB2355">
        <w:rPr>
          <w:rStyle w:val="FootnoteReference"/>
        </w:rPr>
        <w:footnoteReference w:id="58"/>
      </w:r>
      <w:r w:rsidR="00FB2355">
        <w:t xml:space="preserve"> In other</w:t>
      </w:r>
      <w:r w:rsidR="00A92682">
        <w:t xml:space="preserve"> cases</w:t>
      </w:r>
      <w:r w:rsidR="00FB2355">
        <w:t>, courts have simply determined that reliance upon a contract cannot constitute competent evidence of qua</w:t>
      </w:r>
      <w:r w:rsidR="007F313B">
        <w:t>ntum meruit damages.</w:t>
      </w:r>
      <w:r w:rsidR="00B838DE">
        <w:rPr>
          <w:rStyle w:val="FootnoteReference"/>
        </w:rPr>
        <w:footnoteReference w:id="59"/>
      </w:r>
      <w:r w:rsidR="007F313B">
        <w:t xml:space="preserve"> </w:t>
      </w:r>
    </w:p>
    <w:p w14:paraId="3115CD9F" w14:textId="0E406A3E" w:rsidR="00755C6C" w:rsidRDefault="00755C6C" w:rsidP="002360DE">
      <w:pPr>
        <w:ind w:firstLine="720"/>
        <w:jc w:val="both"/>
      </w:pPr>
      <w:r>
        <w:lastRenderedPageBreak/>
        <w:t>So</w:t>
      </w:r>
      <w:r w:rsidR="0021724B">
        <w:t>,</w:t>
      </w:r>
      <w:r>
        <w:t xml:space="preserve"> what will get the job done? </w:t>
      </w:r>
      <w:r w:rsidR="00EF2737">
        <w:t xml:space="preserve">The </w:t>
      </w:r>
      <w:r w:rsidR="0021724B">
        <w:t>list below</w:t>
      </w:r>
      <w:r w:rsidR="00EF2737">
        <w:t xml:space="preserve"> contains a sample of cases where courts considered evidence the sufficiency of evidence of the reasonable value of services provided.</w:t>
      </w:r>
    </w:p>
    <w:p w14:paraId="10C62A90" w14:textId="0FADDCB7" w:rsidR="00897200" w:rsidRPr="0020013C" w:rsidRDefault="00EF2737" w:rsidP="00CF78C9">
      <w:pPr>
        <w:pStyle w:val="ListParagraph"/>
        <w:numPr>
          <w:ilvl w:val="0"/>
          <w:numId w:val="11"/>
        </w:numPr>
        <w:spacing w:after="0"/>
        <w:ind w:left="2520"/>
        <w:jc w:val="both"/>
        <w:rPr>
          <w:b/>
          <w:bCs/>
        </w:rPr>
      </w:pPr>
      <w:r w:rsidRPr="0020013C">
        <w:rPr>
          <w:b/>
          <w:bCs/>
        </w:rPr>
        <w:t>Evidence Sufficient to Establish Reasonable Value</w:t>
      </w:r>
    </w:p>
    <w:p w14:paraId="3B2474FF" w14:textId="77777777" w:rsidR="00B908DC" w:rsidRPr="00B908DC" w:rsidRDefault="00B908DC" w:rsidP="00CF78C9">
      <w:pPr>
        <w:pStyle w:val="ListParagraph"/>
        <w:spacing w:after="0" w:line="240" w:lineRule="auto"/>
        <w:ind w:left="1440"/>
        <w:jc w:val="both"/>
      </w:pPr>
    </w:p>
    <w:p w14:paraId="458EC038" w14:textId="0C5E65C1" w:rsidR="00EF2737" w:rsidRDefault="00897200" w:rsidP="00897200">
      <w:pPr>
        <w:pStyle w:val="ListParagraph"/>
        <w:numPr>
          <w:ilvl w:val="0"/>
          <w:numId w:val="12"/>
        </w:numPr>
        <w:jc w:val="both"/>
      </w:pPr>
      <w:r w:rsidRPr="00897200">
        <w:rPr>
          <w:b/>
          <w:bCs/>
          <w:i/>
          <w:iCs/>
        </w:rPr>
        <w:t>Kelly v. Tracy</w:t>
      </w:r>
      <w:r w:rsidRPr="00897200">
        <w:rPr>
          <w:b/>
          <w:bCs/>
        </w:rPr>
        <w:t>.</w:t>
      </w:r>
      <w:r w:rsidR="00B908DC">
        <w:rPr>
          <w:rStyle w:val="FootnoteReference"/>
        </w:rPr>
        <w:footnoteReference w:id="60"/>
      </w:r>
      <w:r>
        <w:t xml:space="preserve"> Evidence included (1) amounts from contractor listed in an insurance estimate used as the basis to form the agreement; (2) testimony from contractor as to how it generated the estimate, including calculations based on zip code and depreciation; (3) </w:t>
      </w:r>
      <w:r w:rsidR="00130B8D">
        <w:t xml:space="preserve">a </w:t>
      </w:r>
      <w:r>
        <w:t>list of work to be done provided by the insurance company, including quantities, percentage of overhead and profit, and recoverable depreciation; (4) testimony from contractor that amounts billed were reasonable and were based on insurance estimates; and (5) testimony establishing that the owner also used the insurance estimate to estimate the amount owed.</w:t>
      </w:r>
      <w:r w:rsidR="00B908DC">
        <w:rPr>
          <w:rStyle w:val="FootnoteReference"/>
        </w:rPr>
        <w:footnoteReference w:id="61"/>
      </w:r>
      <w:r>
        <w:t xml:space="preserve"> The court held that this evidence “was sufficient to allow a jury to determine the issue of fair and reasonable compensation for the service and materials provided by [the contractor].”</w:t>
      </w:r>
      <w:r>
        <w:rPr>
          <w:rStyle w:val="FootnoteReference"/>
        </w:rPr>
        <w:footnoteReference w:id="62"/>
      </w:r>
    </w:p>
    <w:p w14:paraId="638CF406" w14:textId="77777777" w:rsidR="00897200" w:rsidRDefault="00897200" w:rsidP="00CF78C9">
      <w:pPr>
        <w:pStyle w:val="ListParagraph"/>
        <w:spacing w:line="240" w:lineRule="auto"/>
        <w:ind w:left="1440"/>
        <w:jc w:val="both"/>
      </w:pPr>
    </w:p>
    <w:p w14:paraId="2F2169AD" w14:textId="58389368" w:rsidR="00897200" w:rsidRDefault="00897200" w:rsidP="00897200">
      <w:pPr>
        <w:pStyle w:val="ListParagraph"/>
        <w:numPr>
          <w:ilvl w:val="0"/>
          <w:numId w:val="12"/>
        </w:numPr>
        <w:jc w:val="both"/>
      </w:pPr>
      <w:r w:rsidRPr="00B908DC">
        <w:rPr>
          <w:b/>
          <w:bCs/>
          <w:i/>
          <w:iCs/>
        </w:rPr>
        <w:t>PMC Chase, LLP v. Branch Structural Sols., Inc.</w:t>
      </w:r>
      <w:r>
        <w:rPr>
          <w:rStyle w:val="FootnoteReference"/>
        </w:rPr>
        <w:footnoteReference w:id="63"/>
      </w:r>
      <w:r>
        <w:rPr>
          <w:i/>
          <w:iCs/>
        </w:rPr>
        <w:t xml:space="preserve"> </w:t>
      </w:r>
      <w:r>
        <w:t xml:space="preserve">Evidence included testimony from contractor regarding the size of the crew required, the typical hourly rate for each crew member, and the amount of </w:t>
      </w:r>
      <w:r w:rsidR="00BA2733">
        <w:t>hours required for the work.</w:t>
      </w:r>
      <w:r w:rsidR="00BA2733">
        <w:rPr>
          <w:rStyle w:val="FootnoteReference"/>
        </w:rPr>
        <w:footnoteReference w:id="64"/>
      </w:r>
      <w:r w:rsidR="00BA2733">
        <w:t xml:space="preserve"> Evidence also established the owner used the general contractor’s estimates of labor costs to calculate a competing damages estimate.</w:t>
      </w:r>
      <w:r w:rsidR="00BA2733">
        <w:rPr>
          <w:rStyle w:val="FootnoteReference"/>
        </w:rPr>
        <w:footnoteReference w:id="65"/>
      </w:r>
      <w:r w:rsidR="00BA2733">
        <w:t xml:space="preserve"> </w:t>
      </w:r>
      <w:r w:rsidR="00C8068F">
        <w:t>The court determined the contractor’s testimony demonstrated the reasonable and necessary cost of the work at issue in its quantum meruit claim.</w:t>
      </w:r>
    </w:p>
    <w:p w14:paraId="203CD8F7" w14:textId="77777777" w:rsidR="00C8068F" w:rsidRDefault="00C8068F" w:rsidP="00CF78C9">
      <w:pPr>
        <w:pStyle w:val="ListParagraph"/>
        <w:spacing w:line="240" w:lineRule="auto"/>
      </w:pPr>
    </w:p>
    <w:p w14:paraId="4F8D0649" w14:textId="0573EEE2" w:rsidR="00897200" w:rsidRDefault="00C8068F" w:rsidP="00897200">
      <w:pPr>
        <w:pStyle w:val="ListParagraph"/>
        <w:numPr>
          <w:ilvl w:val="0"/>
          <w:numId w:val="12"/>
        </w:numPr>
        <w:jc w:val="both"/>
      </w:pPr>
      <w:r w:rsidRPr="00B908DC">
        <w:rPr>
          <w:b/>
          <w:bCs/>
          <w:i/>
          <w:iCs/>
        </w:rPr>
        <w:t xml:space="preserve">W. </w:t>
      </w:r>
      <w:proofErr w:type="spellStart"/>
      <w:r w:rsidRPr="00B908DC">
        <w:rPr>
          <w:b/>
          <w:bCs/>
          <w:i/>
          <w:iCs/>
        </w:rPr>
        <w:t>Hous</w:t>
      </w:r>
      <w:proofErr w:type="spellEnd"/>
      <w:r w:rsidRPr="00B908DC">
        <w:rPr>
          <w:b/>
          <w:bCs/>
          <w:i/>
          <w:iCs/>
        </w:rPr>
        <w:t>. Airport Corp. v. SCI Contractors</w:t>
      </w:r>
      <w:r w:rsidRPr="00B908DC">
        <w:rPr>
          <w:b/>
          <w:bCs/>
        </w:rPr>
        <w:t>.</w:t>
      </w:r>
      <w:r>
        <w:rPr>
          <w:rStyle w:val="FootnoteReference"/>
        </w:rPr>
        <w:footnoteReference w:id="66"/>
      </w:r>
      <w:r>
        <w:t xml:space="preserve"> Evidence included (1) testimony from project foreman that charges in its submitted invoices were reasonable for the work performed; (2) testimony from completion contractor that the plaintiff’s work was adequately performed; and (3) copies of invoices for the claim at issue.</w:t>
      </w:r>
      <w:r>
        <w:rPr>
          <w:rStyle w:val="FootnoteReference"/>
        </w:rPr>
        <w:footnoteReference w:id="67"/>
      </w:r>
      <w:r>
        <w:t xml:space="preserve"> The court determined that while the contractor “used the invoices as a starting point,” it also “fully explained the services performed, the material provided, and the cost for those services and material.”</w:t>
      </w:r>
      <w:r>
        <w:rPr>
          <w:rStyle w:val="FootnoteReference"/>
        </w:rPr>
        <w:footnoteReference w:id="68"/>
      </w:r>
      <w:r>
        <w:t xml:space="preserve"> </w:t>
      </w:r>
      <w:r w:rsidR="00B908DC">
        <w:t>The court therefore determined the evidence sufficient to establish the plaintiff’s recovery in quantum meruit.</w:t>
      </w:r>
    </w:p>
    <w:p w14:paraId="5D10B4CE" w14:textId="00A7DF1F" w:rsidR="00EF2737" w:rsidRPr="0020013C" w:rsidRDefault="00EF2737" w:rsidP="0020013C">
      <w:pPr>
        <w:pStyle w:val="ListParagraph"/>
        <w:numPr>
          <w:ilvl w:val="0"/>
          <w:numId w:val="11"/>
        </w:numPr>
        <w:ind w:left="2520"/>
        <w:jc w:val="both"/>
        <w:rPr>
          <w:b/>
          <w:bCs/>
        </w:rPr>
      </w:pPr>
      <w:r w:rsidRPr="0020013C">
        <w:rPr>
          <w:b/>
          <w:bCs/>
        </w:rPr>
        <w:lastRenderedPageBreak/>
        <w:t>Evidence Insufficient to Establish Reasonable Value</w:t>
      </w:r>
    </w:p>
    <w:p w14:paraId="280F41FD" w14:textId="77777777" w:rsidR="008001E2" w:rsidRDefault="008001E2" w:rsidP="00CF78C9">
      <w:pPr>
        <w:pStyle w:val="ListParagraph"/>
        <w:spacing w:line="240" w:lineRule="auto"/>
        <w:ind w:left="1800"/>
        <w:jc w:val="both"/>
        <w:rPr>
          <w:u w:val="single"/>
        </w:rPr>
      </w:pPr>
    </w:p>
    <w:p w14:paraId="5A893A99" w14:textId="381CA40C" w:rsidR="00EF2737" w:rsidRDefault="00CF3DB1" w:rsidP="00EF2737">
      <w:pPr>
        <w:pStyle w:val="ListParagraph"/>
        <w:numPr>
          <w:ilvl w:val="0"/>
          <w:numId w:val="13"/>
        </w:numPr>
        <w:ind w:left="1800"/>
        <w:jc w:val="both"/>
      </w:pPr>
      <w:r w:rsidRPr="00E367F9">
        <w:rPr>
          <w:b/>
          <w:bCs/>
          <w:i/>
          <w:iCs/>
        </w:rPr>
        <w:t>Marrocco v. Hill</w:t>
      </w:r>
      <w:r w:rsidR="008001E2" w:rsidRPr="00E367F9">
        <w:rPr>
          <w:b/>
          <w:bCs/>
        </w:rPr>
        <w:t>.</w:t>
      </w:r>
      <w:r w:rsidR="008001E2" w:rsidRPr="008001E2">
        <w:rPr>
          <w:rStyle w:val="FootnoteReference"/>
        </w:rPr>
        <w:footnoteReference w:id="69"/>
      </w:r>
      <w:r w:rsidR="008001E2">
        <w:t xml:space="preserve"> Plaintiff’s only evidence of reasonableness of amounts sought was an email requesting reimbursement of expenses.</w:t>
      </w:r>
      <w:r w:rsidR="008001E2">
        <w:rPr>
          <w:rStyle w:val="FootnoteReference"/>
        </w:rPr>
        <w:footnoteReference w:id="70"/>
      </w:r>
      <w:r w:rsidR="008001E2">
        <w:t xml:space="preserve"> </w:t>
      </w:r>
      <w:r w:rsidR="00EE48F9">
        <w:t>The court noted the plaintiff failed to submit any evidence “related to th</w:t>
      </w:r>
      <w:r w:rsidR="00872484">
        <w:t>[</w:t>
      </w:r>
      <w:r w:rsidR="00EE48F9">
        <w:t>o</w:t>
      </w:r>
      <w:r w:rsidR="00872484">
        <w:t>]</w:t>
      </w:r>
      <w:r w:rsidR="00EE48F9">
        <w:t>se expenses or their reasonableness” and also failed to provide “any testimony whatsoever regarding the reasonable value of the services” the plaintiff provided.</w:t>
      </w:r>
      <w:r w:rsidR="00EE48F9">
        <w:rPr>
          <w:rStyle w:val="FootnoteReference"/>
        </w:rPr>
        <w:footnoteReference w:id="71"/>
      </w:r>
      <w:r w:rsidR="00EE48F9">
        <w:t xml:space="preserve"> The court therefore determined that there was “no evidence to support” an award in quantum meruit.</w:t>
      </w:r>
      <w:r w:rsidR="00EE48F9">
        <w:rPr>
          <w:rStyle w:val="FootnoteReference"/>
        </w:rPr>
        <w:footnoteReference w:id="72"/>
      </w:r>
    </w:p>
    <w:p w14:paraId="5EFB4E82" w14:textId="77777777" w:rsidR="00E367F9" w:rsidRDefault="00E367F9" w:rsidP="00CF78C9">
      <w:pPr>
        <w:pStyle w:val="ListParagraph"/>
        <w:spacing w:line="240" w:lineRule="auto"/>
        <w:ind w:left="1800"/>
        <w:jc w:val="both"/>
      </w:pPr>
    </w:p>
    <w:p w14:paraId="78FFB3A4" w14:textId="54270572" w:rsidR="00E367F9" w:rsidRDefault="00E367F9" w:rsidP="00EF2737">
      <w:pPr>
        <w:pStyle w:val="ListParagraph"/>
        <w:numPr>
          <w:ilvl w:val="0"/>
          <w:numId w:val="13"/>
        </w:numPr>
        <w:ind w:left="1800"/>
        <w:jc w:val="both"/>
      </w:pPr>
      <w:r w:rsidRPr="00E367F9">
        <w:rPr>
          <w:b/>
          <w:bCs/>
          <w:i/>
          <w:iCs/>
        </w:rPr>
        <w:t>MMR Int’l. v. Waller Marine, Inc.</w:t>
      </w:r>
      <w:r>
        <w:rPr>
          <w:rStyle w:val="FootnoteReference"/>
          <w:b/>
          <w:bCs/>
          <w:i/>
          <w:iCs/>
        </w:rPr>
        <w:footnoteReference w:id="73"/>
      </w:r>
      <w:r w:rsidRPr="00E367F9">
        <w:rPr>
          <w:b/>
          <w:bCs/>
        </w:rPr>
        <w:t xml:space="preserve"> </w:t>
      </w:r>
      <w:r>
        <w:t>Plaintiff only submitted the invoices it sought to recover, with no other evidence of the reasonable value of services for amounts charged.</w:t>
      </w:r>
      <w:r>
        <w:rPr>
          <w:rStyle w:val="FootnoteReference"/>
        </w:rPr>
        <w:footnoteReference w:id="74"/>
      </w:r>
      <w:r>
        <w:t xml:space="preserve"> The court determined that “[w]</w:t>
      </w:r>
      <w:proofErr w:type="spellStart"/>
      <w:r>
        <w:t>hile</w:t>
      </w:r>
      <w:proofErr w:type="spellEnd"/>
      <w:r>
        <w:t xml:space="preserve"> the invoices may constitute some evidence of value, the invoices alone are insufficient to represent the reasonable value of the services and materials.”</w:t>
      </w:r>
      <w:r>
        <w:rPr>
          <w:rStyle w:val="FootnoteReference"/>
        </w:rPr>
        <w:footnoteReference w:id="75"/>
      </w:r>
    </w:p>
    <w:p w14:paraId="656E764A" w14:textId="77777777" w:rsidR="0044623C" w:rsidRDefault="0044623C" w:rsidP="00CF78C9">
      <w:pPr>
        <w:pStyle w:val="ListParagraph"/>
        <w:spacing w:line="240" w:lineRule="auto"/>
      </w:pPr>
    </w:p>
    <w:p w14:paraId="0FC2B737" w14:textId="0D7BD02E" w:rsidR="00714CE8" w:rsidRPr="008001E2" w:rsidRDefault="0044623C" w:rsidP="00714CE8">
      <w:pPr>
        <w:pStyle w:val="ListParagraph"/>
        <w:numPr>
          <w:ilvl w:val="0"/>
          <w:numId w:val="13"/>
        </w:numPr>
        <w:ind w:left="1800"/>
        <w:jc w:val="both"/>
      </w:pPr>
      <w:r w:rsidRPr="00534B5F">
        <w:rPr>
          <w:b/>
          <w:bCs/>
          <w:i/>
          <w:iCs/>
        </w:rPr>
        <w:t>LTS Grp., Inc. v. Woodcrest Capital, LLC</w:t>
      </w:r>
      <w:r w:rsidRPr="00534B5F">
        <w:rPr>
          <w:b/>
          <w:bCs/>
        </w:rPr>
        <w:t>.</w:t>
      </w:r>
      <w:r>
        <w:rPr>
          <w:rStyle w:val="FootnoteReference"/>
        </w:rPr>
        <w:footnoteReference w:id="76"/>
      </w:r>
      <w:r>
        <w:t xml:space="preserve"> This case </w:t>
      </w:r>
      <w:r w:rsidR="00563122">
        <w:t>presents a slightly different fact pattern—</w:t>
      </w:r>
      <w:r>
        <w:t>a property sale gone awry during the diligence process. The plaintiff provided witness testimony at trial that $200,000 was “the reasonable value of the services and materials that were provided.”</w:t>
      </w:r>
      <w:r>
        <w:rPr>
          <w:rStyle w:val="FootnoteReference"/>
        </w:rPr>
        <w:footnoteReference w:id="77"/>
      </w:r>
      <w:r>
        <w:t xml:space="preserve"> On a closer look, the court observed that the plaintiff’s witness “based his opinion on the fact that [the plaintiff] expected to get a fee in excess of $200,000” when the sale was completed.</w:t>
      </w:r>
      <w:r>
        <w:rPr>
          <w:rStyle w:val="FootnoteReference"/>
        </w:rPr>
        <w:footnoteReference w:id="78"/>
      </w:r>
      <w:r w:rsidR="00714CE8">
        <w:t xml:space="preserve"> The court, observing that “[t]he expectation of a future business advantage or opportunity cannot form the basis of a cause of action for quantum meruit,” affirmed the trial court’s take-nothing judgment on the plaintiff’s quantum meruit claim.</w:t>
      </w:r>
      <w:r w:rsidR="00714CE8">
        <w:rPr>
          <w:rStyle w:val="FootnoteReference"/>
        </w:rPr>
        <w:footnoteReference w:id="79"/>
      </w:r>
    </w:p>
    <w:p w14:paraId="6F993DAD" w14:textId="3755F040" w:rsidR="00534B5F" w:rsidRDefault="00563122" w:rsidP="00E11B0E">
      <w:pPr>
        <w:ind w:firstLine="720"/>
        <w:jc w:val="both"/>
      </w:pPr>
      <w:r>
        <w:t xml:space="preserve">While no case presents a black letter test for reasonableness, or states conclusively what evidence courts require, </w:t>
      </w:r>
      <w:r w:rsidR="00F870C6">
        <w:t>these cases suggest some common themes. First, plaintiffs should provide as much detail as possible as to how they calculated their damage model, inclu</w:t>
      </w:r>
      <w:r w:rsidR="000D76D4">
        <w:t>ding</w:t>
      </w:r>
      <w:r w:rsidR="00F870C6">
        <w:t xml:space="preserve"> the sources from which they derived information, the nature of the work performed, and what assumptions those estimates included or omitted. Estimates from third parties (or experts) may carry additional weight.</w:t>
      </w:r>
      <w:r w:rsidR="00F870C6">
        <w:rPr>
          <w:rStyle w:val="FootnoteReference"/>
        </w:rPr>
        <w:footnoteReference w:id="80"/>
      </w:r>
      <w:r w:rsidR="00F870C6">
        <w:t xml:space="preserve"> </w:t>
      </w:r>
      <w:r w:rsidR="00F870C6">
        <w:lastRenderedPageBreak/>
        <w:t>By contrast, plaintiffs should avoid only providing copies of their invoices without more</w:t>
      </w:r>
      <w:r w:rsidR="000D76D4">
        <w:t xml:space="preserve"> evidence</w:t>
      </w:r>
      <w:r w:rsidR="00F870C6">
        <w:t>. Moreover, any calculation based on a plaintiff’s “expectations” or “anticipated revenue/profit” cannot be evidence of reasonable value because they are not based on the work performed</w:t>
      </w:r>
      <w:r w:rsidR="00E11B0E">
        <w:t xml:space="preserve">. </w:t>
      </w:r>
    </w:p>
    <w:p w14:paraId="42B675C7" w14:textId="503E2225" w:rsidR="00432E87" w:rsidRPr="0020013C" w:rsidRDefault="00432E87" w:rsidP="00432E87">
      <w:pPr>
        <w:pStyle w:val="ListParagraph"/>
        <w:numPr>
          <w:ilvl w:val="0"/>
          <w:numId w:val="7"/>
        </w:numPr>
        <w:jc w:val="both"/>
        <w:rPr>
          <w:b/>
          <w:bCs/>
        </w:rPr>
      </w:pPr>
      <w:r w:rsidRPr="0020013C">
        <w:rPr>
          <w:b/>
          <w:bCs/>
        </w:rPr>
        <w:t>Cardinal Change</w:t>
      </w:r>
    </w:p>
    <w:p w14:paraId="22BC42AF" w14:textId="2C2034C6" w:rsidR="007C1F0C" w:rsidRDefault="00432E87" w:rsidP="00EF3A22">
      <w:pPr>
        <w:ind w:firstLine="720"/>
        <w:jc w:val="both"/>
      </w:pPr>
      <w:r>
        <w:t xml:space="preserve">Cases involving multiple or significant changes </w:t>
      </w:r>
      <w:r w:rsidR="005B0234">
        <w:t xml:space="preserve">to the work </w:t>
      </w:r>
      <w:r>
        <w:t>often invoke claims by parties of a “cardinal change” that allegedly entitle a contractor or subcontractor to some basis of relief outside the express provisions of the parties’ contract. The doctrine of cardinal change remains an enigma to many practitioners, likely because of Texas’ limited common law authority on the subject. Before unpacking the handful Texas cases that touch on cardinal change to extract what lessons we can, this paper attempts to unpack what exactly the claim of “cardinal change” is—and more importantly</w:t>
      </w:r>
      <w:r w:rsidR="000D76D4">
        <w:t>,</w:t>
      </w:r>
      <w:r>
        <w:t xml:space="preserve"> what it is not.</w:t>
      </w:r>
    </w:p>
    <w:p w14:paraId="6FADB310" w14:textId="66EB842E" w:rsidR="00123A76" w:rsidRPr="0020013C" w:rsidRDefault="00123A76" w:rsidP="00123A76">
      <w:pPr>
        <w:pStyle w:val="ListParagraph"/>
        <w:numPr>
          <w:ilvl w:val="0"/>
          <w:numId w:val="5"/>
        </w:numPr>
        <w:jc w:val="both"/>
        <w:rPr>
          <w:b/>
          <w:bCs/>
        </w:rPr>
      </w:pPr>
      <w:r w:rsidRPr="0020013C">
        <w:rPr>
          <w:b/>
          <w:bCs/>
        </w:rPr>
        <w:t>The Origin of Cardinal Change and its Underlying Principles</w:t>
      </w:r>
    </w:p>
    <w:p w14:paraId="61DA2E79" w14:textId="76EEA07D" w:rsidR="00BB6AEB" w:rsidRDefault="00546E0C" w:rsidP="007778F0">
      <w:pPr>
        <w:ind w:firstLine="720"/>
        <w:jc w:val="both"/>
      </w:pPr>
      <w:r>
        <w:t xml:space="preserve">The idea that cardinal changes to a contract constitute a breach is often attributed to a line of cases from the United States Court of Claims (now called the United States Court of Federal Claims). </w:t>
      </w:r>
      <w:r w:rsidR="00AE4D0F">
        <w:t xml:space="preserve">While that may be where the term “cardinal change” first appeared, several courts around the country had introduced the idea </w:t>
      </w:r>
      <w:r w:rsidR="00621EB2">
        <w:t xml:space="preserve">long </w:t>
      </w:r>
      <w:r w:rsidR="00AE4D0F">
        <w:t>before then under different names. For example, the Illinois Supreme Court held in 1883 that a contractual provision allowing an owner to make “any changes, additions, and alterations” to a contract must have some outer limit</w:t>
      </w:r>
      <w:r w:rsidR="009A1609">
        <w:t>;</w:t>
      </w:r>
      <w:r w:rsidR="00AE4D0F">
        <w:t xml:space="preserve"> otherwise</w:t>
      </w:r>
      <w:r w:rsidR="009A1609">
        <w:t>,</w:t>
      </w:r>
      <w:r w:rsidR="00AE4D0F">
        <w:t xml:space="preserve"> the owner’s “advertising for bids and the stipulation of prices in the contract </w:t>
      </w:r>
      <w:r w:rsidR="004C2BBF">
        <w:t>[would be] useless.”</w:t>
      </w:r>
      <w:r w:rsidR="004C2BBF">
        <w:rPr>
          <w:rStyle w:val="FootnoteReference"/>
        </w:rPr>
        <w:footnoteReference w:id="81"/>
      </w:r>
      <w:r w:rsidR="004C2BBF">
        <w:t xml:space="preserve"> In 1900, the Eighth Circuit ruled that a contractual provision authorizing Salt Lake City to “make any alterations that may hereafter be determined upon as necessary and desirable” only authorized “modifications of the contemplated work as do not </w:t>
      </w:r>
      <w:r w:rsidR="004C2BBF">
        <w:rPr>
          <w:b/>
          <w:bCs/>
          <w:i/>
          <w:iCs/>
        </w:rPr>
        <w:t>radically change</w:t>
      </w:r>
      <w:r w:rsidR="004C2BBF">
        <w:t xml:space="preserve"> its nature and its cost.”</w:t>
      </w:r>
      <w:r w:rsidR="004C2BBF">
        <w:rPr>
          <w:rStyle w:val="FootnoteReference"/>
        </w:rPr>
        <w:footnoteReference w:id="82"/>
      </w:r>
      <w:r w:rsidR="004C2BBF">
        <w:t xml:space="preserve"> </w:t>
      </w:r>
      <w:r w:rsidR="0017603D">
        <w:t xml:space="preserve">The Eighth Circuit reasoned that “it [was] difficult to perceive why [the City] might not, under the same authority, increase the cost and quantity of every other item named in the agreement </w:t>
      </w:r>
      <w:r w:rsidR="00621EB2">
        <w:t>to the same extent,</w:t>
      </w:r>
      <w:r w:rsidR="0017603D">
        <w:t xml:space="preserve"> and in this way require the construction of a conduit from 53 to 182 times as costly as contemplated by the parties when the agreement was made.”</w:t>
      </w:r>
      <w:r w:rsidR="0017603D">
        <w:rPr>
          <w:rStyle w:val="FootnoteReference"/>
        </w:rPr>
        <w:footnoteReference w:id="83"/>
      </w:r>
      <w:r w:rsidR="0017603D">
        <w:t xml:space="preserve"> </w:t>
      </w:r>
      <w:r w:rsidR="00284D2D">
        <w:t>The court continued:</w:t>
      </w:r>
    </w:p>
    <w:p w14:paraId="756AC8C5" w14:textId="5179C80E" w:rsidR="00284D2D" w:rsidRPr="004C2BBF" w:rsidRDefault="00284D2D" w:rsidP="00284D2D">
      <w:pPr>
        <w:ind w:left="720" w:right="720"/>
        <w:jc w:val="both"/>
      </w:pPr>
      <w:r>
        <w:t xml:space="preserve">It is </w:t>
      </w:r>
      <w:proofErr w:type="gramStart"/>
      <w:r>
        <w:t>conceded</w:t>
      </w:r>
      <w:proofErr w:type="gramEnd"/>
      <w:r>
        <w:t xml:space="preserve"> that the literal terms of the contract, when divorced from reason, from the object contemplated by the parties, from their situation, and from their intention, are so general and unlimited as to permit this to be done. But it is as clear as the sun at noon in a cloudless sky that the minds of these parties never met upon such a proposition, and that they never contemplated or intended to make any such contract.</w:t>
      </w:r>
      <w:r>
        <w:rPr>
          <w:rStyle w:val="FootnoteReference"/>
        </w:rPr>
        <w:footnoteReference w:id="84"/>
      </w:r>
    </w:p>
    <w:p w14:paraId="6B38B775" w14:textId="3B8FC210" w:rsidR="00B76180" w:rsidRDefault="00B76180" w:rsidP="007778F0">
      <w:pPr>
        <w:ind w:firstLine="720"/>
        <w:jc w:val="both"/>
      </w:pPr>
      <w:r>
        <w:lastRenderedPageBreak/>
        <w:t xml:space="preserve">The case most often credited with coining the </w:t>
      </w:r>
      <w:r w:rsidR="00111968">
        <w:t>term</w:t>
      </w:r>
      <w:r>
        <w:t xml:space="preserve"> “cardinal change” is </w:t>
      </w:r>
      <w:r>
        <w:rPr>
          <w:i/>
          <w:iCs/>
        </w:rPr>
        <w:t xml:space="preserve">General Contracting &amp; </w:t>
      </w:r>
      <w:r w:rsidR="00D43725">
        <w:rPr>
          <w:i/>
          <w:iCs/>
        </w:rPr>
        <w:t xml:space="preserve">Constr. </w:t>
      </w:r>
      <w:r>
        <w:rPr>
          <w:i/>
          <w:iCs/>
        </w:rPr>
        <w:t>Co. v. U.S.</w:t>
      </w:r>
      <w:r>
        <w:t>,</w:t>
      </w:r>
      <w:r w:rsidR="00CF2BB9" w:rsidRPr="00CF2BB9">
        <w:rPr>
          <w:rStyle w:val="FootnoteReference"/>
        </w:rPr>
        <w:t xml:space="preserve"> </w:t>
      </w:r>
      <w:r w:rsidR="00CF2BB9">
        <w:rPr>
          <w:rStyle w:val="FootnoteReference"/>
        </w:rPr>
        <w:footnoteReference w:id="85"/>
      </w:r>
      <w:r w:rsidR="00CF2BB9">
        <w:t xml:space="preserve"> </w:t>
      </w:r>
      <w:r>
        <w:t xml:space="preserve">a 1937 Court of Claims case </w:t>
      </w:r>
      <w:r w:rsidR="00CF2BB9">
        <w:t xml:space="preserve">arising from a hospital construction contract </w:t>
      </w:r>
      <w:r w:rsidR="006513B3">
        <w:t>for the Bureau of Veterans Affairs</w:t>
      </w:r>
      <w:r w:rsidR="00CF2BB9">
        <w:t>. The contract governing the project defined the contractor’s scope of work to include the construction or renovation of eight different buildings, in addition to connecting corridors and various utilities.</w:t>
      </w:r>
      <w:r w:rsidR="00CF2BB9">
        <w:rPr>
          <w:rStyle w:val="FootnoteReference"/>
        </w:rPr>
        <w:footnoteReference w:id="86"/>
      </w:r>
      <w:r w:rsidR="006513B3">
        <w:t xml:space="preserve"> The total contract price was $911,376</w:t>
      </w:r>
      <w:r w:rsidR="00A43DF4">
        <w:t xml:space="preserve"> (</w:t>
      </w:r>
      <w:r w:rsidR="006513B3">
        <w:t xml:space="preserve">approximately $17.9 million </w:t>
      </w:r>
      <w:r w:rsidR="00A43DF4">
        <w:t>in today’s dollars)</w:t>
      </w:r>
      <w:r w:rsidR="006513B3">
        <w:t>.</w:t>
      </w:r>
      <w:r w:rsidR="006513B3">
        <w:rPr>
          <w:rStyle w:val="FootnoteReference"/>
        </w:rPr>
        <w:footnoteReference w:id="87"/>
      </w:r>
      <w:r w:rsidR="006513B3">
        <w:t xml:space="preserve"> Several months into construction, the contracting officer (on behalf of the government) issued a “formal change order” eliminating one building from the scope of work and decreasing the contract price by $99,520 (approximately $2 million </w:t>
      </w:r>
      <w:r w:rsidR="009D17F4">
        <w:t>today</w:t>
      </w:r>
      <w:r w:rsidR="006513B3">
        <w:t>).</w:t>
      </w:r>
      <w:r w:rsidR="006513B3">
        <w:rPr>
          <w:rStyle w:val="FootnoteReference"/>
        </w:rPr>
        <w:footnoteReference w:id="88"/>
      </w:r>
      <w:r w:rsidR="006513B3">
        <w:t xml:space="preserve"> The contractor claimed that this reduction in scope </w:t>
      </w:r>
      <w:r w:rsidR="009D17F4">
        <w:t>caused it to lose favorable pricing with its suppliers and subcontractors, and as a result</w:t>
      </w:r>
      <w:r w:rsidR="00B3337F">
        <w:t>,</w:t>
      </w:r>
      <w:r w:rsidR="009D17F4">
        <w:t xml:space="preserve"> it incurred increased costs of $20,773 (approximately $400,000</w:t>
      </w:r>
      <w:r w:rsidR="00A43DF4">
        <w:t xml:space="preserve"> today</w:t>
      </w:r>
      <w:r w:rsidR="009D17F4">
        <w:t>).</w:t>
      </w:r>
      <w:r w:rsidR="009D17F4">
        <w:rPr>
          <w:rStyle w:val="FootnoteReference"/>
        </w:rPr>
        <w:footnoteReference w:id="89"/>
      </w:r>
      <w:r w:rsidR="009D17F4">
        <w:t xml:space="preserve"> </w:t>
      </w:r>
      <w:r w:rsidR="00CE4B98">
        <w:t>The contractor sought to recover these costs.</w:t>
      </w:r>
      <w:r w:rsidR="00CE4B98">
        <w:rPr>
          <w:rStyle w:val="FootnoteReference"/>
        </w:rPr>
        <w:footnoteReference w:id="90"/>
      </w:r>
      <w:r w:rsidR="00CE4B98">
        <w:t xml:space="preserve"> </w:t>
      </w:r>
    </w:p>
    <w:p w14:paraId="4BBC5E17" w14:textId="1E790A12" w:rsidR="009D17F4" w:rsidRDefault="00CE4B98" w:rsidP="007778F0">
      <w:pPr>
        <w:ind w:firstLine="720"/>
        <w:jc w:val="both"/>
      </w:pPr>
      <w:r>
        <w:t xml:space="preserve">The court’s analysis centered on the “changes” clause in the parties’ contract, which gave the contracting officer authority to, “at any time,” “make changes in the drawings and (or) specifications of th[e] contract </w:t>
      </w:r>
      <w:r w:rsidRPr="00CE4B98">
        <w:rPr>
          <w:b/>
          <w:bCs/>
          <w:i/>
          <w:iCs/>
        </w:rPr>
        <w:t>and within the general scope thereof</w:t>
      </w:r>
      <w:r>
        <w:t>.”</w:t>
      </w:r>
      <w:r w:rsidR="0077343F">
        <w:rPr>
          <w:rStyle w:val="FootnoteReference"/>
        </w:rPr>
        <w:footnoteReference w:id="91"/>
      </w:r>
      <w:r>
        <w:t xml:space="preserve"> </w:t>
      </w:r>
      <w:r w:rsidR="0077343F">
        <w:t xml:space="preserve">The court interpreted this language to mean the government could order “structural changes like the substitution of one kind of material for another, changes in architectural design, the addition to or subtraction from work required by the specifications, etc.” but could </w:t>
      </w:r>
      <w:r w:rsidR="0077343F">
        <w:rPr>
          <w:i/>
          <w:iCs/>
        </w:rPr>
        <w:t xml:space="preserve">not </w:t>
      </w:r>
      <w:r w:rsidR="0077343F">
        <w:t>“eliminate entirely from the contract” the building in question.</w:t>
      </w:r>
      <w:r w:rsidR="0077343F">
        <w:rPr>
          <w:rStyle w:val="FootnoteReference"/>
        </w:rPr>
        <w:footnoteReference w:id="92"/>
      </w:r>
      <w:r w:rsidR="0077343F">
        <w:t xml:space="preserve"> The court reasoned that if the government could so, it “could likewise eliminate two or any number of buildings and thus entirely change the contract.”</w:t>
      </w:r>
      <w:r w:rsidR="0077343F">
        <w:rPr>
          <w:rStyle w:val="FootnoteReference"/>
        </w:rPr>
        <w:footnoteReference w:id="93"/>
      </w:r>
      <w:r w:rsidR="0077343F">
        <w:t xml:space="preserve"> The elimination of one building, according to the court, “amounted to a </w:t>
      </w:r>
      <w:r w:rsidR="0077343F">
        <w:rPr>
          <w:b/>
          <w:bCs/>
          <w:i/>
          <w:iCs/>
        </w:rPr>
        <w:t>cardinal change</w:t>
      </w:r>
      <w:r w:rsidR="0077343F">
        <w:t xml:space="preserve"> or alteration of the contract itself, a thing that could only be consummated with the consent of both parties to the contract.”</w:t>
      </w:r>
      <w:r w:rsidR="0077343F">
        <w:rPr>
          <w:rStyle w:val="FootnoteReference"/>
        </w:rPr>
        <w:footnoteReference w:id="94"/>
      </w:r>
      <w:r w:rsidR="0077343F">
        <w:t xml:space="preserve"> Because that </w:t>
      </w:r>
      <w:r w:rsidR="00094BA6">
        <w:t xml:space="preserve">unilateral, </w:t>
      </w:r>
      <w:r w:rsidR="0077343F">
        <w:t>cardinal change fell outside the government</w:t>
      </w:r>
      <w:r w:rsidR="00094BA6">
        <w:t>’</w:t>
      </w:r>
      <w:r w:rsidR="0077343F">
        <w:t>s express contractual authority, it amounted to a breach of contract, for which the court awarded the contractor its claimed cost</w:t>
      </w:r>
      <w:r w:rsidR="00094BA6">
        <w:t>s</w:t>
      </w:r>
      <w:r w:rsidR="0077343F">
        <w:t>.</w:t>
      </w:r>
      <w:r w:rsidR="0077343F">
        <w:rPr>
          <w:rStyle w:val="FootnoteReference"/>
        </w:rPr>
        <w:footnoteReference w:id="95"/>
      </w:r>
    </w:p>
    <w:p w14:paraId="5BEE7C5D" w14:textId="5648972B" w:rsidR="00111968" w:rsidRDefault="00E71BE6" w:rsidP="005437D2">
      <w:pPr>
        <w:ind w:firstLine="720"/>
        <w:jc w:val="both"/>
      </w:pPr>
      <w:r>
        <w:t xml:space="preserve">Two points about this case warrant emphasis. First, the Court of Claims did not appear to announce some new theory of common law, or even a new kind of contractual breach. Instead, the court </w:t>
      </w:r>
      <w:r w:rsidR="00052B0E">
        <w:t xml:space="preserve">simply </w:t>
      </w:r>
      <w:r>
        <w:t xml:space="preserve">interpreted a provision of the contract and determined the government’s actions breached that express provision. </w:t>
      </w:r>
      <w:r w:rsidR="00F01A86">
        <w:t xml:space="preserve">In doing so, the Court of Claims’ approach appears to be narrower than the reasoning in </w:t>
      </w:r>
      <w:r w:rsidR="00F01A86">
        <w:rPr>
          <w:i/>
          <w:iCs/>
        </w:rPr>
        <w:t xml:space="preserve">Salt Lake City. </w:t>
      </w:r>
      <w:r w:rsidR="005437D2" w:rsidRPr="00F01A86">
        <w:t>Second</w:t>
      </w:r>
      <w:r w:rsidR="005437D2">
        <w:t xml:space="preserve">, the court’s statement that a cardinal change was “a thing that could only be consummated with the consent of both parties to the contract” suggests that theory of breach would not apply to change orders agreed and executed by both parties to a contract. </w:t>
      </w:r>
      <w:r w:rsidR="00123A76">
        <w:t xml:space="preserve">These </w:t>
      </w:r>
      <w:r w:rsidR="00123A76">
        <w:lastRenderedPageBreak/>
        <w:t>facts suggest a theory of breach that is limited in scope and application</w:t>
      </w:r>
      <w:r w:rsidR="00B61F0D">
        <w:t>, which may explain</w:t>
      </w:r>
      <w:r w:rsidR="00111968">
        <w:t xml:space="preserve"> why the cardinal change doctrine</w:t>
      </w:r>
      <w:r w:rsidR="00123A76">
        <w:t xml:space="preserve"> remained cabined to disputes arising out of government contracts</w:t>
      </w:r>
      <w:r w:rsidR="00B61F0D">
        <w:t>.</w:t>
      </w:r>
      <w:r w:rsidR="00B61F0D">
        <w:rPr>
          <w:rStyle w:val="FootnoteReference"/>
        </w:rPr>
        <w:footnoteReference w:id="96"/>
      </w:r>
      <w:r w:rsidR="00B61F0D">
        <w:t xml:space="preserve"> Notably, the modern Federal Acquisition Regulations that govern standard government procurement contracts </w:t>
      </w:r>
      <w:r w:rsidR="00111968">
        <w:t xml:space="preserve">contain a “changes” clause </w:t>
      </w:r>
      <w:r w:rsidR="00B61F0D">
        <w:t xml:space="preserve">exactly </w:t>
      </w:r>
      <w:r w:rsidR="00111968">
        <w:t xml:space="preserve">like the one at issue in </w:t>
      </w:r>
      <w:r w:rsidR="00111968">
        <w:rPr>
          <w:i/>
          <w:iCs/>
        </w:rPr>
        <w:t>General Contracting &amp; Constr. Co</w:t>
      </w:r>
      <w:r w:rsidR="00111968">
        <w:t>.</w:t>
      </w:r>
      <w:r w:rsidR="00B61F0D">
        <w:t>,</w:t>
      </w:r>
      <w:r w:rsidR="005437D2">
        <w:t xml:space="preserve"> </w:t>
      </w:r>
      <w:r w:rsidR="00B61F0D">
        <w:t>and</w:t>
      </w:r>
      <w:r w:rsidR="005437D2">
        <w:t xml:space="preserve"> authorize the government to unilaterally direct changes to the contract without the general contractor’s consent.</w:t>
      </w:r>
      <w:r w:rsidR="00111968">
        <w:rPr>
          <w:rStyle w:val="FootnoteReference"/>
        </w:rPr>
        <w:footnoteReference w:id="97"/>
      </w:r>
      <w:r w:rsidR="00111968">
        <w:t xml:space="preserve"> </w:t>
      </w:r>
    </w:p>
    <w:p w14:paraId="6FCE1842" w14:textId="39DC2C4E" w:rsidR="000F3C73" w:rsidRPr="007928B5" w:rsidRDefault="00B61F0D" w:rsidP="000F3C73">
      <w:pPr>
        <w:ind w:firstLine="720"/>
        <w:jc w:val="both"/>
      </w:pPr>
      <w:r>
        <w:t xml:space="preserve"> Over time, courts around the country began to apply </w:t>
      </w:r>
      <w:r w:rsidR="007928B5">
        <w:t>the Court of Claims’</w:t>
      </w:r>
      <w:r>
        <w:t xml:space="preserve"> cardinal change rule </w:t>
      </w:r>
      <w:r w:rsidR="002F5F09">
        <w:t>to private contract</w:t>
      </w:r>
      <w:r w:rsidR="00937B2B">
        <w:t>s</w:t>
      </w:r>
      <w:r w:rsidR="002F5F09">
        <w:t>.</w:t>
      </w:r>
      <w:r w:rsidR="00937B2B">
        <w:t xml:space="preserve"> The first to do so explicitly appears to be the Oklahoma Supreme Court</w:t>
      </w:r>
      <w:r w:rsidR="001B0BF6">
        <w:t>, which held</w:t>
      </w:r>
      <w:r w:rsidR="00937B2B">
        <w:t xml:space="preserve"> in the 1975 case </w:t>
      </w:r>
      <w:r w:rsidR="00937B2B">
        <w:rPr>
          <w:i/>
          <w:iCs/>
        </w:rPr>
        <w:t>Watt Plumbing, Air Conditioning &amp; Elec., Inc. v. Tulsa Rig, Reel &amp; Mfg. Co.</w:t>
      </w:r>
      <w:r w:rsidR="001B0BF6">
        <w:t xml:space="preserve"> that </w:t>
      </w:r>
      <w:r w:rsidR="006855B2">
        <w:t>a contractor did not breach the contract by cardinal change where the parties mutually agreed to perform extra work for an agreed price.</w:t>
      </w:r>
      <w:r w:rsidR="00937B2B">
        <w:rPr>
          <w:rStyle w:val="FootnoteReference"/>
        </w:rPr>
        <w:footnoteReference w:id="98"/>
      </w:r>
      <w:r w:rsidR="001B0BF6">
        <w:rPr>
          <w:i/>
          <w:iCs/>
        </w:rPr>
        <w:t xml:space="preserve"> </w:t>
      </w:r>
      <w:r w:rsidR="001E2038">
        <w:t>Other courts began to follow suit, with similarly unsuccessful results for plaintiffs.</w:t>
      </w:r>
      <w:r w:rsidR="001E2038">
        <w:rPr>
          <w:rStyle w:val="FootnoteReference"/>
        </w:rPr>
        <w:footnoteReference w:id="99"/>
      </w:r>
      <w:r w:rsidR="0086193E">
        <w:t xml:space="preserve"> Where exceptions arose, a closer look </w:t>
      </w:r>
      <w:r w:rsidR="00C16CA9">
        <w:t>usually</w:t>
      </w:r>
      <w:r w:rsidR="0086193E">
        <w:t xml:space="preserve"> reveals a contract containing similar language to that at issue in </w:t>
      </w:r>
      <w:r w:rsidR="0086193E">
        <w:rPr>
          <w:i/>
          <w:iCs/>
        </w:rPr>
        <w:t>General Contracting &amp; Constr. Co.</w:t>
      </w:r>
      <w:r w:rsidR="008674A8">
        <w:t xml:space="preserve">, rather than </w:t>
      </w:r>
      <w:r w:rsidR="004E205E">
        <w:t>a more equitable, bilateral change order provision.</w:t>
      </w:r>
      <w:r w:rsidR="0086193E" w:rsidRPr="00BE115D">
        <w:rPr>
          <w:rStyle w:val="FootnoteReference"/>
        </w:rPr>
        <w:footnoteReference w:id="100"/>
      </w:r>
      <w:r w:rsidR="00CD7353">
        <w:t xml:space="preserve"> </w:t>
      </w:r>
      <w:r w:rsidR="007928B5">
        <w:t xml:space="preserve">But at the same time, a line of cases across the country began to adopt the more expansive concept of “radical” or “cardinal” change articulated by the Eighth Circuit in </w:t>
      </w:r>
      <w:r w:rsidR="00F01A86">
        <w:rPr>
          <w:i/>
          <w:iCs/>
        </w:rPr>
        <w:t>Salt Lake City</w:t>
      </w:r>
      <w:r w:rsidR="007928B5">
        <w:t>.</w:t>
      </w:r>
      <w:r w:rsidR="004E205E">
        <w:rPr>
          <w:rStyle w:val="FootnoteReference"/>
        </w:rPr>
        <w:footnoteReference w:id="101"/>
      </w:r>
      <w:r w:rsidR="004E205E">
        <w:t xml:space="preserve"> </w:t>
      </w:r>
      <w:r w:rsidR="000F3C73">
        <w:t>These cases did not limit their holdings to change provisions that only authorize changes to the “general scope.” Instead, they appear to have applied a broader common-law backstop to prevent parties from unilaterally directing changes to a construction contract beyond the parties’ reasonable expectations.</w:t>
      </w:r>
      <w:r w:rsidR="000F3C73">
        <w:rPr>
          <w:rStyle w:val="FootnoteReference"/>
        </w:rPr>
        <w:footnoteReference w:id="102"/>
      </w:r>
      <w:r w:rsidR="000F3C73">
        <w:t xml:space="preserve">  </w:t>
      </w:r>
    </w:p>
    <w:p w14:paraId="0DE7588F" w14:textId="67FDC171" w:rsidR="008E1D08" w:rsidRPr="0020013C" w:rsidRDefault="00123A76" w:rsidP="00432E87">
      <w:pPr>
        <w:pStyle w:val="ListParagraph"/>
        <w:numPr>
          <w:ilvl w:val="0"/>
          <w:numId w:val="5"/>
        </w:numPr>
        <w:jc w:val="both"/>
        <w:rPr>
          <w:b/>
          <w:bCs/>
        </w:rPr>
      </w:pPr>
      <w:r w:rsidRPr="0020013C">
        <w:rPr>
          <w:b/>
          <w:bCs/>
        </w:rPr>
        <w:t>Cardinal Change in Texas Courts</w:t>
      </w:r>
    </w:p>
    <w:p w14:paraId="12645B42" w14:textId="32089BB9" w:rsidR="0012284C" w:rsidRDefault="0012284C" w:rsidP="00223CC0">
      <w:pPr>
        <w:ind w:firstLine="720"/>
        <w:jc w:val="both"/>
      </w:pPr>
      <w:r>
        <w:t xml:space="preserve">As an initial matter, </w:t>
      </w:r>
      <w:r w:rsidR="004E265E">
        <w:t xml:space="preserve">the Texas legislature recently passed legislation allowing subcontractors or contractors to refuse to proceed with additional work directed by an owner if (1) the contractor or subcontractor has not received a written, fully executed change order for the owner-directed additional work; and (2) the aggregate actual or anticipated value of the additional work plus any previous owner-directed additional work for which the contractor or subcontractor has not received a written, fully </w:t>
      </w:r>
      <w:r w:rsidR="004E265E">
        <w:lastRenderedPageBreak/>
        <w:t>executed change order exceeds 10 percent of the contractor’s or subcontractor’s original contract amount.</w:t>
      </w:r>
      <w:r w:rsidR="004E265E">
        <w:rPr>
          <w:rStyle w:val="FootnoteReference"/>
        </w:rPr>
        <w:footnoteReference w:id="103"/>
      </w:r>
      <w:r w:rsidR="004E265E">
        <w:t xml:space="preserve"> This new right of refusal is effective for all construction contracts entered on or after September 1, 2023.</w:t>
      </w:r>
      <w:r w:rsidR="00045C4E">
        <w:t xml:space="preserve"> </w:t>
      </w:r>
      <w:r w:rsidR="00DC192F">
        <w:t>The legislation suggests</w:t>
      </w:r>
      <w:r w:rsidR="00045C4E">
        <w:t xml:space="preserve"> that the legislature has adopted some form of “cardinal change” and the threshold for defining one is a 10 percent increase over the</w:t>
      </w:r>
      <w:r w:rsidR="007769A4">
        <w:t xml:space="preserve"> original</w:t>
      </w:r>
      <w:r w:rsidR="00045C4E">
        <w:t xml:space="preserve"> contract price. Because this statute is new and has not been interpreted by courts, it remains to be seen how </w:t>
      </w:r>
      <w:r w:rsidR="007769A4">
        <w:t>it</w:t>
      </w:r>
      <w:r w:rsidR="00045C4E">
        <w:t xml:space="preserve"> interacts with Texas common law on this subject, the development of which is set forth below.</w:t>
      </w:r>
    </w:p>
    <w:p w14:paraId="6AD257AA" w14:textId="0F4ACDD2" w:rsidR="00CD08AE" w:rsidRDefault="009F57D5" w:rsidP="00223CC0">
      <w:pPr>
        <w:ind w:firstLine="720"/>
        <w:jc w:val="both"/>
      </w:pPr>
      <w:r>
        <w:t>No</w:t>
      </w:r>
      <w:r w:rsidR="007778F0">
        <w:t xml:space="preserve"> Texas appellate court has ever examined or discussed </w:t>
      </w:r>
      <w:r w:rsidR="00E605DA">
        <w:t>the term “cardinal change”</w:t>
      </w:r>
      <w:r w:rsidR="007778F0">
        <w:t xml:space="preserve"> in those </w:t>
      </w:r>
      <w:r w:rsidR="003073F5">
        <w:t xml:space="preserve">exact </w:t>
      </w:r>
      <w:r w:rsidR="007778F0">
        <w:t>words. In fact, only two appear to have mentioned the term at all: one impliedly blessing the doctrine by affirming a jury verdict in 1998,</w:t>
      </w:r>
      <w:r w:rsidR="007778F0">
        <w:rPr>
          <w:rStyle w:val="FootnoteReference"/>
        </w:rPr>
        <w:footnoteReference w:id="104"/>
      </w:r>
      <w:r w:rsidR="007778F0">
        <w:t xml:space="preserve"> and the other mentioning </w:t>
      </w:r>
      <w:r>
        <w:t>that a party claimed cardinal change at the district court without preserving the issue for appeal</w:t>
      </w:r>
      <w:r w:rsidR="007778F0">
        <w:t>.</w:t>
      </w:r>
      <w:r w:rsidR="007778F0">
        <w:rPr>
          <w:rStyle w:val="FootnoteReference"/>
        </w:rPr>
        <w:footnoteReference w:id="105"/>
      </w:r>
      <w:r w:rsidR="007778F0">
        <w:t xml:space="preserve"> </w:t>
      </w:r>
      <w:r w:rsidR="00E913C4">
        <w:t xml:space="preserve">As a result, neither court had an opportunity to point out that the </w:t>
      </w:r>
      <w:r w:rsidR="00857819">
        <w:t xml:space="preserve">Texas Supreme Court </w:t>
      </w:r>
      <w:r w:rsidR="00E913C4">
        <w:t>expressly adopted</w:t>
      </w:r>
      <w:r w:rsidR="00857819">
        <w:t xml:space="preserve"> the “radical change” doctrine nearly 100 years ago in </w:t>
      </w:r>
      <w:r w:rsidR="00857819">
        <w:rPr>
          <w:i/>
          <w:iCs/>
        </w:rPr>
        <w:t>B.F. &amp; C.M. Davis Co. v. W.E. Callaghan Const. Co.</w:t>
      </w:r>
      <w:r w:rsidR="00857819" w:rsidRPr="0020013C">
        <w:rPr>
          <w:rStyle w:val="FootnoteReference"/>
        </w:rPr>
        <w:footnoteReference w:id="106"/>
      </w:r>
      <w:r w:rsidR="00857819" w:rsidRPr="00AE5E46">
        <w:t xml:space="preserve"> </w:t>
      </w:r>
      <w:r w:rsidR="00857819">
        <w:t>Th</w:t>
      </w:r>
      <w:r w:rsidR="00E913C4">
        <w:t>at</w:t>
      </w:r>
      <w:r w:rsidR="00857819">
        <w:t xml:space="preserve"> case involved construction of </w:t>
      </w:r>
      <w:r w:rsidR="00484790">
        <w:t xml:space="preserve">an irrigation plant </w:t>
      </w:r>
      <w:r w:rsidR="00857819">
        <w:t xml:space="preserve">for the </w:t>
      </w:r>
      <w:r w:rsidR="00484790">
        <w:t>Wichita County Water Improvement District</w:t>
      </w:r>
      <w:r w:rsidR="00857819">
        <w:t>.</w:t>
      </w:r>
      <w:r w:rsidR="00857819">
        <w:rPr>
          <w:rStyle w:val="FootnoteReference"/>
        </w:rPr>
        <w:footnoteReference w:id="107"/>
      </w:r>
      <w:r w:rsidR="00857819">
        <w:t xml:space="preserve"> A subcontractor sought additional compensation arising from what it claimed were “substantial and radical departures from the original contract and specifications” by the District and the</w:t>
      </w:r>
      <w:r w:rsidR="00484790">
        <w:t xml:space="preserve"> general contractor.</w:t>
      </w:r>
      <w:r w:rsidR="00CD08AE">
        <w:rPr>
          <w:rStyle w:val="FootnoteReference"/>
        </w:rPr>
        <w:footnoteReference w:id="108"/>
      </w:r>
      <w:r w:rsidR="00484790">
        <w:t xml:space="preserve"> </w:t>
      </w:r>
    </w:p>
    <w:p w14:paraId="68665CEF" w14:textId="68E36D3F" w:rsidR="00857819" w:rsidRDefault="00E913C4" w:rsidP="00223CC0">
      <w:pPr>
        <w:ind w:firstLine="720"/>
        <w:jc w:val="both"/>
      </w:pPr>
      <w:r>
        <w:t xml:space="preserve">The </w:t>
      </w:r>
      <w:r w:rsidR="001F674B">
        <w:t xml:space="preserve">subcontract </w:t>
      </w:r>
      <w:r>
        <w:t>authorized the District to “make whatever changes in the quantities in the work or materials as may be advisable . . . to secure the compliance with contract, by adding thereto or deducting therefrom, at the unit price of the contract.”</w:t>
      </w:r>
      <w:r>
        <w:rPr>
          <w:rStyle w:val="FootnoteReference"/>
        </w:rPr>
        <w:footnoteReference w:id="109"/>
      </w:r>
      <w:r>
        <w:t xml:space="preserve"> </w:t>
      </w:r>
      <w:r w:rsidR="001F674B">
        <w:t>The District exercised this right to order significant changes to the first two structures of the Project.</w:t>
      </w:r>
      <w:r w:rsidR="001F674B">
        <w:rPr>
          <w:rStyle w:val="FootnoteReference"/>
        </w:rPr>
        <w:footnoteReference w:id="110"/>
      </w:r>
      <w:r w:rsidR="001F674B">
        <w:t xml:space="preserve"> The subcontractor complained at the time, but was assured by the District that it would make changes to the remaining structures to reduce the cost of construction and that, “on the whole, the burden would be equalized.”</w:t>
      </w:r>
      <w:r w:rsidR="001F674B">
        <w:rPr>
          <w:rStyle w:val="FootnoteReference"/>
        </w:rPr>
        <w:footnoteReference w:id="111"/>
      </w:r>
      <w:r w:rsidR="001F674B">
        <w:t xml:space="preserve"> When that equalization predictably failed to materialize, the subcontractor walked the job.</w:t>
      </w:r>
      <w:r w:rsidR="001F674B">
        <w:rPr>
          <w:rStyle w:val="FootnoteReference"/>
        </w:rPr>
        <w:footnoteReference w:id="112"/>
      </w:r>
      <w:r w:rsidR="001F674B">
        <w:t xml:space="preserve"> The District then proposed a new contract, to which the subcontractor agreed </w:t>
      </w:r>
      <w:r w:rsidR="00DC192F">
        <w:t xml:space="preserve">to </w:t>
      </w:r>
      <w:r w:rsidR="001F674B">
        <w:t>while reserving its rights to claim compensation for work already performed.</w:t>
      </w:r>
      <w:r w:rsidR="001F674B">
        <w:rPr>
          <w:rStyle w:val="FootnoteReference"/>
        </w:rPr>
        <w:footnoteReference w:id="113"/>
      </w:r>
    </w:p>
    <w:p w14:paraId="3F5FF3EC" w14:textId="2B72D526" w:rsidR="001F674B" w:rsidRPr="001F674B" w:rsidRDefault="001F674B" w:rsidP="00223CC0">
      <w:pPr>
        <w:ind w:firstLine="720"/>
        <w:jc w:val="both"/>
      </w:pPr>
      <w:r>
        <w:t>Due to the age of this case, the exact nature of the proceedings that followed are not clear</w:t>
      </w:r>
      <w:r w:rsidR="00E94678">
        <w:t xml:space="preserve">, but </w:t>
      </w:r>
      <w:r w:rsidR="009A1609">
        <w:t>because the subcontractor appealed</w:t>
      </w:r>
      <w:r w:rsidR="00E94678">
        <w:t xml:space="preserve">, we can assume </w:t>
      </w:r>
      <w:r w:rsidR="009A1609">
        <w:t>its</w:t>
      </w:r>
      <w:r w:rsidR="00E94678">
        <w:t xml:space="preserve"> claim was dismissed or otherwise denied</w:t>
      </w:r>
      <w:r>
        <w:t xml:space="preserve">. When the case reached the Texas Supreme Court, the court observed “it is the all but universal rule that a general agreement to make changes does not extend to such unusual, far reaching or radical changes as are here pleaded. When changes of the latter kind are made, a </w:t>
      </w:r>
      <w:r>
        <w:rPr>
          <w:i/>
          <w:iCs/>
        </w:rPr>
        <w:t xml:space="preserve">new </w:t>
      </w:r>
      <w:r>
        <w:t xml:space="preserve">contract is the result and </w:t>
      </w:r>
      <w:r>
        <w:lastRenderedPageBreak/>
        <w:t>those performing the same are entitled to reasonable compensation therefor.”</w:t>
      </w:r>
      <w:r>
        <w:rPr>
          <w:rStyle w:val="FootnoteReference"/>
        </w:rPr>
        <w:footnoteReference w:id="114"/>
      </w:r>
      <w:r>
        <w:t xml:space="preserve"> The court therefore remanded the case for a trial on the merits of the subcontractor’s claims.</w:t>
      </w:r>
      <w:r w:rsidR="00E94678">
        <w:rPr>
          <w:rStyle w:val="FootnoteReference"/>
        </w:rPr>
        <w:footnoteReference w:id="115"/>
      </w:r>
    </w:p>
    <w:p w14:paraId="49FD3493" w14:textId="08A46F17" w:rsidR="00223CC0" w:rsidRDefault="00223CC0" w:rsidP="00223CC0">
      <w:pPr>
        <w:ind w:firstLine="720"/>
        <w:jc w:val="both"/>
      </w:pPr>
      <w:r>
        <w:t xml:space="preserve">Oddly, </w:t>
      </w:r>
      <w:r>
        <w:rPr>
          <w:i/>
          <w:iCs/>
        </w:rPr>
        <w:t xml:space="preserve">Davis </w:t>
      </w:r>
      <w:r>
        <w:t>does not appear to have generated much attention, interest, or discussion in the last 100 years.</w:t>
      </w:r>
      <w:r w:rsidR="008C3660">
        <w:t xml:space="preserve"> No case has discussed </w:t>
      </w:r>
      <w:r w:rsidR="008C3660">
        <w:rPr>
          <w:i/>
          <w:iCs/>
        </w:rPr>
        <w:t>Davis’s</w:t>
      </w:r>
      <w:r w:rsidR="008C3660">
        <w:t xml:space="preserve"> treatment of the “radical change” doctrine, and courts citing </w:t>
      </w:r>
      <w:r w:rsidR="008C3660">
        <w:rPr>
          <w:i/>
          <w:iCs/>
        </w:rPr>
        <w:t xml:space="preserve">Davis </w:t>
      </w:r>
      <w:r w:rsidR="008C3660">
        <w:t>have only done so for other reasons.</w:t>
      </w:r>
      <w:r>
        <w:t xml:space="preserve"> </w:t>
      </w:r>
      <w:r w:rsidR="0028354E">
        <w:t xml:space="preserve">But it hasn’t been completely ignored. </w:t>
      </w:r>
      <w:r w:rsidR="0086107C">
        <w:t xml:space="preserve">Most interestingly, the </w:t>
      </w:r>
      <w:r w:rsidR="00855EDA">
        <w:t>trial court</w:t>
      </w:r>
      <w:r w:rsidR="0086107C">
        <w:t xml:space="preserve"> in </w:t>
      </w:r>
      <w:r w:rsidR="0086107C">
        <w:rPr>
          <w:i/>
          <w:iCs/>
        </w:rPr>
        <w:t xml:space="preserve">Zachry Cosntr. Corp. v. Port Authority of Houston </w:t>
      </w:r>
      <w:r w:rsidR="00855EDA">
        <w:t xml:space="preserve">applied </w:t>
      </w:r>
      <w:r w:rsidR="00855EDA">
        <w:rPr>
          <w:i/>
          <w:iCs/>
        </w:rPr>
        <w:t xml:space="preserve">Davis </w:t>
      </w:r>
      <w:r w:rsidR="00855EDA">
        <w:t>and the “radical change” doctrine as one of several bases to find the Port could not rely upon contractual notice provisions as an affirmative defense.</w:t>
      </w:r>
      <w:r w:rsidR="0086107C">
        <w:rPr>
          <w:rStyle w:val="FootnoteReference"/>
        </w:rPr>
        <w:footnoteReference w:id="116"/>
      </w:r>
      <w:r w:rsidR="0086107C">
        <w:t xml:space="preserve"> </w:t>
      </w:r>
      <w:r w:rsidR="00855EDA">
        <w:t>The parties briefed the issue on appeal, but the Houston Court of Appeals decided the case on other grounds and provided no further analysis.</w:t>
      </w:r>
      <w:r w:rsidR="00855EDA">
        <w:rPr>
          <w:rStyle w:val="FootnoteReference"/>
        </w:rPr>
        <w:footnoteReference w:id="117"/>
      </w:r>
    </w:p>
    <w:p w14:paraId="6BB4A8FD" w14:textId="597FBA02" w:rsidR="00432E87" w:rsidRPr="0020013C" w:rsidRDefault="00432E87" w:rsidP="00432E87">
      <w:pPr>
        <w:pStyle w:val="ListParagraph"/>
        <w:numPr>
          <w:ilvl w:val="0"/>
          <w:numId w:val="5"/>
        </w:numPr>
        <w:jc w:val="both"/>
        <w:rPr>
          <w:b/>
          <w:bCs/>
        </w:rPr>
      </w:pPr>
      <w:r w:rsidRPr="0020013C">
        <w:rPr>
          <w:b/>
          <w:bCs/>
        </w:rPr>
        <w:t>A Modern Texas Case Study—</w:t>
      </w:r>
      <w:r w:rsidRPr="0020013C">
        <w:rPr>
          <w:b/>
          <w:bCs/>
          <w:i/>
          <w:iCs/>
        </w:rPr>
        <w:t>Weatherford v. Spitzer</w:t>
      </w:r>
    </w:p>
    <w:p w14:paraId="4A6E2C76" w14:textId="57FD7960" w:rsidR="00E14B48" w:rsidRDefault="00C66534" w:rsidP="00A53540">
      <w:pPr>
        <w:ind w:firstLine="720"/>
        <w:jc w:val="both"/>
      </w:pPr>
      <w:r>
        <w:t>The closest</w:t>
      </w:r>
      <w:r w:rsidR="00223CC0">
        <w:t xml:space="preserve"> a </w:t>
      </w:r>
      <w:r w:rsidR="00E913C4">
        <w:t xml:space="preserve">modern </w:t>
      </w:r>
      <w:r w:rsidR="00223CC0">
        <w:t>Texas</w:t>
      </w:r>
      <w:r>
        <w:t xml:space="preserve"> appellate court ha</w:t>
      </w:r>
      <w:r w:rsidR="00223CC0">
        <w:t>s</w:t>
      </w:r>
      <w:r>
        <w:t xml:space="preserve"> come</w:t>
      </w:r>
      <w:r w:rsidR="009A1609">
        <w:t xml:space="preserve"> to</w:t>
      </w:r>
      <w:r>
        <w:t xml:space="preserve"> deciding the reach of the cardinal change is </w:t>
      </w:r>
      <w:r w:rsidR="00E14B48">
        <w:t>likely</w:t>
      </w:r>
      <w:r>
        <w:t xml:space="preserve"> </w:t>
      </w:r>
      <w:r>
        <w:rPr>
          <w:i/>
          <w:iCs/>
        </w:rPr>
        <w:t>Weatherford U.S., L.P. v. Spitzer Indus., Inc</w:t>
      </w:r>
      <w:r w:rsidR="00686980">
        <w:rPr>
          <w:i/>
          <w:iCs/>
        </w:rPr>
        <w:t>.</w:t>
      </w:r>
      <w:r w:rsidR="00686980">
        <w:t xml:space="preserve">, a </w:t>
      </w:r>
      <w:r w:rsidR="00DA0DD3">
        <w:t>dispute arising from the engineering, procurement, and fabrication of several topside modules to support hydrocarbon processing in the Gulf of Mexico.</w:t>
      </w:r>
      <w:r w:rsidR="00DA0DD3">
        <w:rPr>
          <w:rStyle w:val="FootnoteReference"/>
        </w:rPr>
        <w:footnoteReference w:id="118"/>
      </w:r>
      <w:r w:rsidR="00DA0DD3">
        <w:t xml:space="preserve"> Weatherford </w:t>
      </w:r>
      <w:r w:rsidR="00747E0C">
        <w:t>subcontracted fabrication of the modules to Spitzer, which agreed to construct the modules</w:t>
      </w:r>
      <w:r w:rsidR="003B242E">
        <w:t xml:space="preserve"> for a lump sum price of $37 million and</w:t>
      </w:r>
      <w:r w:rsidR="00747E0C">
        <w:t xml:space="preserve"> in accordance with Weatherford-provided</w:t>
      </w:r>
      <w:r w:rsidR="007E749A">
        <w:t xml:space="preserve"> </w:t>
      </w:r>
      <w:r w:rsidR="00747E0C">
        <w:t>designs.</w:t>
      </w:r>
      <w:r w:rsidR="00747E0C">
        <w:rPr>
          <w:rStyle w:val="FootnoteReference"/>
        </w:rPr>
        <w:footnoteReference w:id="119"/>
      </w:r>
      <w:r w:rsidR="00747E0C">
        <w:t xml:space="preserve"> According to the trial court’s findings of fact, Weatherford’s engineering subcontractor repeatedly issued </w:t>
      </w:r>
      <w:r w:rsidR="00AE2B09">
        <w:t xml:space="preserve">design </w:t>
      </w:r>
      <w:r w:rsidR="00747E0C">
        <w:t>drawings late, continually revised drawings after they had been issued for construction, and made significant engineering errors that required rework.</w:t>
      </w:r>
      <w:r w:rsidR="00E14B48">
        <w:rPr>
          <w:rStyle w:val="FootnoteReference"/>
        </w:rPr>
        <w:footnoteReference w:id="120"/>
      </w:r>
      <w:r w:rsidR="00E14B48">
        <w:t xml:space="preserve"> </w:t>
      </w:r>
      <w:r w:rsidR="00AE2B09">
        <w:t>T</w:t>
      </w:r>
      <w:r w:rsidR="009A1609">
        <w:t>his</w:t>
      </w:r>
      <w:r w:rsidR="00E14B48">
        <w:t xml:space="preserve"> had knock-on effects on Spitzer’s ability to fabricate the modules on time and within its lump sum price. Weatherford directed Spitzer to work overtime and take additional steps to accelerate its work, assuring Spitzer it would be “kept whole.” The parties mutually abandoned the contractual change order procedure, agreeing instead to a process by which Spitzer would execute change directives received from Weatherford and then submit supporting cost information </w:t>
      </w:r>
      <w:proofErr w:type="gramStart"/>
      <w:r w:rsidR="00E14B48">
        <w:t>at a later date</w:t>
      </w:r>
      <w:proofErr w:type="gramEnd"/>
      <w:r w:rsidR="00E14B48">
        <w:t>.</w:t>
      </w:r>
      <w:r w:rsidR="00F862D1">
        <w:rPr>
          <w:rStyle w:val="FootnoteReference"/>
        </w:rPr>
        <w:footnoteReference w:id="121"/>
      </w:r>
    </w:p>
    <w:p w14:paraId="13C967C7" w14:textId="7529E2E4" w:rsidR="004855A7" w:rsidRDefault="008F175C" w:rsidP="004855A7">
      <w:pPr>
        <w:ind w:firstLine="720"/>
        <w:jc w:val="both"/>
      </w:pPr>
      <w:r>
        <w:t xml:space="preserve">Weatherford initially paid </w:t>
      </w:r>
      <w:r w:rsidR="00BD104B">
        <w:t>all costs submitted by Spitzer, but hardened its stance over the life of the project, ultimately rejecting approximately $17.8 million in increased costs.</w:t>
      </w:r>
      <w:r w:rsidR="00F862D1">
        <w:rPr>
          <w:rStyle w:val="FootnoteReference"/>
        </w:rPr>
        <w:footnoteReference w:id="122"/>
      </w:r>
      <w:r w:rsidR="00BD104B">
        <w:t xml:space="preserve"> Spitzer sued Weatherford </w:t>
      </w:r>
      <w:r w:rsidR="00253539">
        <w:t>on two separate</w:t>
      </w:r>
      <w:r w:rsidR="00BD104B">
        <w:t xml:space="preserve"> breach of contract </w:t>
      </w:r>
      <w:r w:rsidR="00253539">
        <w:t>claims: “Breach of Contract—Cardinal Change” and “Breach of Contract (in the alternative).”</w:t>
      </w:r>
      <w:r w:rsidR="00F862D1">
        <w:rPr>
          <w:rStyle w:val="FootnoteReference"/>
        </w:rPr>
        <w:footnoteReference w:id="123"/>
      </w:r>
      <w:r w:rsidR="00253539">
        <w:t xml:space="preserve"> Spitzer further </w:t>
      </w:r>
      <w:r w:rsidR="00BD104B">
        <w:t xml:space="preserve">sought a declaration that Weatherford had </w:t>
      </w:r>
      <w:r w:rsidR="00BD104B">
        <w:lastRenderedPageBreak/>
        <w:t>cardinally changed the parties’ contract</w:t>
      </w:r>
      <w:r w:rsidR="00253539">
        <w:t xml:space="preserve"> and, as a result, the contract was “void.”</w:t>
      </w:r>
      <w:r w:rsidR="00F862D1">
        <w:rPr>
          <w:rStyle w:val="FootnoteReference"/>
        </w:rPr>
        <w:footnoteReference w:id="124"/>
      </w:r>
      <w:r w:rsidR="004855A7">
        <w:t xml:space="preserve"> After a bench trial, the trial court issued the following relevant findings of fact:</w:t>
      </w:r>
    </w:p>
    <w:p w14:paraId="41067634" w14:textId="711E0284" w:rsidR="004855A7" w:rsidRDefault="004855A7" w:rsidP="00AC082E">
      <w:pPr>
        <w:pStyle w:val="ListParagraph"/>
        <w:numPr>
          <w:ilvl w:val="0"/>
          <w:numId w:val="2"/>
        </w:numPr>
        <w:ind w:left="1080" w:right="720"/>
        <w:jc w:val="both"/>
      </w:pPr>
      <w:r>
        <w:t>Weatherford “fundamentally altered the Project by changing Spitzer’s planned sequence for assembling the modules</w:t>
      </w:r>
      <w:r w:rsidR="003C34D9">
        <w:t>;</w:t>
      </w:r>
      <w:r>
        <w:t>”</w:t>
      </w:r>
      <w:r w:rsidR="003C34D9">
        <w:t xml:space="preserve"> </w:t>
      </w:r>
    </w:p>
    <w:p w14:paraId="3EFFB5E3" w14:textId="36BC7F68" w:rsidR="004855A7" w:rsidRDefault="004855A7" w:rsidP="00AC082E">
      <w:pPr>
        <w:pStyle w:val="ListParagraph"/>
        <w:numPr>
          <w:ilvl w:val="0"/>
          <w:numId w:val="2"/>
        </w:numPr>
        <w:ind w:left="1080" w:right="720"/>
        <w:jc w:val="both"/>
      </w:pPr>
      <w:r>
        <w:t>The magnitude of change on the project “was tremendous,” and included the following:</w:t>
      </w:r>
    </w:p>
    <w:p w14:paraId="115F8A52" w14:textId="11415F25" w:rsidR="004855A7" w:rsidRDefault="004855A7" w:rsidP="003D3756">
      <w:pPr>
        <w:pStyle w:val="ListParagraph"/>
        <w:numPr>
          <w:ilvl w:val="1"/>
          <w:numId w:val="2"/>
        </w:numPr>
        <w:ind w:left="1800" w:right="1440"/>
        <w:jc w:val="both"/>
      </w:pPr>
      <w:r>
        <w:t>a 441-day delay to the project (more than twice as long as originally required);</w:t>
      </w:r>
    </w:p>
    <w:p w14:paraId="3521A31C" w14:textId="0186517E" w:rsidR="004855A7" w:rsidRDefault="004855A7" w:rsidP="003D3756">
      <w:pPr>
        <w:pStyle w:val="ListParagraph"/>
        <w:numPr>
          <w:ilvl w:val="1"/>
          <w:numId w:val="2"/>
        </w:numPr>
        <w:ind w:left="1800" w:right="1440"/>
        <w:jc w:val="both"/>
      </w:pPr>
      <w:r>
        <w:t>a 54% revision rate to the piping isometric drawings and a 74% revision rate on structural drawings, both “far outside industry norms;”</w:t>
      </w:r>
      <w:r w:rsidR="009A1609">
        <w:t xml:space="preserve"> and</w:t>
      </w:r>
    </w:p>
    <w:p w14:paraId="2B15DB07" w14:textId="7E4E0B26" w:rsidR="003C34D9" w:rsidRDefault="004855A7" w:rsidP="003D3756">
      <w:pPr>
        <w:pStyle w:val="ListParagraph"/>
        <w:numPr>
          <w:ilvl w:val="1"/>
          <w:numId w:val="2"/>
        </w:numPr>
        <w:ind w:left="1800" w:right="1440"/>
        <w:jc w:val="both"/>
      </w:pPr>
      <w:r>
        <w:t xml:space="preserve">quantity increases in structural steel (55%); </w:t>
      </w:r>
      <w:r w:rsidR="003C34D9">
        <w:t>linear feet of pipe (53%); flanges (108%); tees (93%); and weld inches (35%)</w:t>
      </w:r>
      <w:r w:rsidR="00763B87">
        <w:t>.</w:t>
      </w:r>
    </w:p>
    <w:p w14:paraId="6F3BD398" w14:textId="130EB08F" w:rsidR="003C34D9" w:rsidRDefault="003C34D9" w:rsidP="00AC082E">
      <w:pPr>
        <w:pStyle w:val="ListParagraph"/>
        <w:numPr>
          <w:ilvl w:val="0"/>
          <w:numId w:val="2"/>
        </w:numPr>
        <w:ind w:left="1080" w:right="720"/>
        <w:jc w:val="both"/>
      </w:pPr>
      <w:r>
        <w:t>Spitzer suffered losses of productivity in structural steel fabrication (43%) and piping fabrication (207%), as well as a 300% increase in man-hours.</w:t>
      </w:r>
      <w:r w:rsidR="00F862D1">
        <w:rPr>
          <w:rStyle w:val="FootnoteReference"/>
        </w:rPr>
        <w:footnoteReference w:id="125"/>
      </w:r>
    </w:p>
    <w:p w14:paraId="73EDE452" w14:textId="5ACB7915" w:rsidR="003C34D9" w:rsidRDefault="003C34D9" w:rsidP="0020013C">
      <w:pPr>
        <w:ind w:firstLine="720"/>
        <w:jc w:val="both"/>
      </w:pPr>
      <w:r>
        <w:t xml:space="preserve">Based on these facts (as well as others pertinent to </w:t>
      </w:r>
      <w:r w:rsidR="009A1609">
        <w:t xml:space="preserve">different </w:t>
      </w:r>
      <w:r>
        <w:t>causes of action), the trial court concluded that Spitzer materially breached the contract in nine different ways, including “changing or allowing [the owner] to change the Project far beyond what was initially contemplated by the parties;” and “failure to pay for all the work performed by Spitzer[.]”</w:t>
      </w:r>
      <w:r w:rsidR="00F862D1">
        <w:rPr>
          <w:rStyle w:val="FootnoteReference"/>
        </w:rPr>
        <w:footnoteReference w:id="126"/>
      </w:r>
      <w:r>
        <w:t xml:space="preserve"> The trial court further concluded that its findings of fact “warrant[ed] a finding that a Cardinal Change occurred such that the nature and scope of Spitzer’s work was fundamentally changed from what was originally contracted.”</w:t>
      </w:r>
      <w:r w:rsidR="00F862D1">
        <w:rPr>
          <w:rStyle w:val="FootnoteReference"/>
        </w:rPr>
        <w:footnoteReference w:id="127"/>
      </w:r>
      <w:r>
        <w:t xml:space="preserve"> </w:t>
      </w:r>
    </w:p>
    <w:p w14:paraId="78880086" w14:textId="35982C40" w:rsidR="003D3756" w:rsidRDefault="003D3756" w:rsidP="003C34D9">
      <w:pPr>
        <w:jc w:val="both"/>
      </w:pPr>
      <w:r>
        <w:tab/>
        <w:t xml:space="preserve">The trial court awarded Spitzer $26.6 million in damages for breach of contract, representing Spitzer’s </w:t>
      </w:r>
      <w:r w:rsidR="003B5663">
        <w:t>unpaid invoices, rejected change requests, and extended overhead.</w:t>
      </w:r>
      <w:r w:rsidR="00F862D1">
        <w:rPr>
          <w:rStyle w:val="FootnoteReference"/>
        </w:rPr>
        <w:footnoteReference w:id="128"/>
      </w:r>
      <w:r w:rsidR="003B5663">
        <w:t xml:space="preserve"> The court also made an alternative finding that Spitzer, “based on the finding of cardinal change and the amount of work executed by Spitzer beyond what was called for in the original contract and approved change orders,” could recover damages based on quantum meruit.</w:t>
      </w:r>
      <w:r w:rsidR="00F862D1">
        <w:rPr>
          <w:rStyle w:val="FootnoteReference"/>
        </w:rPr>
        <w:footnoteReference w:id="129"/>
      </w:r>
      <w:r w:rsidR="00CF7D19">
        <w:t xml:space="preserve"> Based on testimony from Spitzer’s experts, the court determined Spitzer’s quantum meruit damages totaled $22 million, representing the “value for time and material work” minus amounts Spitzer had already been paid.</w:t>
      </w:r>
      <w:r w:rsidR="00F862D1">
        <w:rPr>
          <w:rStyle w:val="FootnoteReference"/>
        </w:rPr>
        <w:footnoteReference w:id="130"/>
      </w:r>
      <w:r w:rsidR="00CF7D19">
        <w:t xml:space="preserve">  </w:t>
      </w:r>
      <w:r w:rsidR="00731D65">
        <w:t xml:space="preserve">Finally, the court granted Spitzer’s requested declaration and awarded Spitzer its </w:t>
      </w:r>
      <w:r w:rsidR="00D976F0">
        <w:t>attorney’s</w:t>
      </w:r>
      <w:r w:rsidR="00731D65">
        <w:t xml:space="preserve"> fees under the parties’ contract, as well as Chapters 37 and 38 of the Texas Civil Practice </w:t>
      </w:r>
      <w:r w:rsidR="006673F8">
        <w:t xml:space="preserve">&amp; </w:t>
      </w:r>
      <w:r w:rsidR="00731D65">
        <w:t>Remedies Code.</w:t>
      </w:r>
      <w:r w:rsidR="00F862D1">
        <w:rPr>
          <w:rStyle w:val="FootnoteReference"/>
        </w:rPr>
        <w:footnoteReference w:id="131"/>
      </w:r>
      <w:r w:rsidR="00731D65">
        <w:t xml:space="preserve"> </w:t>
      </w:r>
    </w:p>
    <w:p w14:paraId="2A0875A3" w14:textId="57A6D592" w:rsidR="00602925" w:rsidRDefault="00602925" w:rsidP="003C34D9">
      <w:pPr>
        <w:jc w:val="both"/>
      </w:pPr>
      <w:r>
        <w:lastRenderedPageBreak/>
        <w:tab/>
        <w:t>Weatherford appeal</w:t>
      </w:r>
      <w:r w:rsidR="00253539">
        <w:t>ed</w:t>
      </w:r>
      <w:r w:rsidR="00D562ED">
        <w:t xml:space="preserve">, claiming </w:t>
      </w:r>
      <w:r w:rsidR="003D6728">
        <w:t>Texas law d</w:t>
      </w:r>
      <w:r w:rsidR="00D562ED">
        <w:t>oes</w:t>
      </w:r>
      <w:r w:rsidR="003D6728">
        <w:t xml:space="preserve"> not recognize a cardinal change theory of breach</w:t>
      </w:r>
      <w:r w:rsidR="00D562ED">
        <w:t>.</w:t>
      </w:r>
      <w:r w:rsidR="004F6762">
        <w:rPr>
          <w:rStyle w:val="FootnoteReference"/>
        </w:rPr>
        <w:footnoteReference w:id="132"/>
      </w:r>
      <w:r w:rsidR="00D562ED">
        <w:t xml:space="preserve"> It argued that </w:t>
      </w:r>
      <w:r w:rsidR="003D6728">
        <w:t>doing so would contravene Texas’</w:t>
      </w:r>
      <w:r w:rsidR="00763B87">
        <w:t>s</w:t>
      </w:r>
      <w:r w:rsidR="003D6728">
        <w:t xml:space="preserve"> strong public policy in favor of freedom of contract. </w:t>
      </w:r>
      <w:r w:rsidR="000C414B">
        <w:t>Weatherford also argued the trial court erred in awarding contract-based damages despite a finding that Weatherford cardinally changed the contrac</w:t>
      </w:r>
      <w:r w:rsidR="00D562ED">
        <w:t>t, which should have rendered the contract void and limited Spitzer’s recovery to quantum meruit.</w:t>
      </w:r>
      <w:r w:rsidR="004F6762">
        <w:rPr>
          <w:rStyle w:val="FootnoteReference"/>
        </w:rPr>
        <w:footnoteReference w:id="133"/>
      </w:r>
      <w:r w:rsidR="00D562ED">
        <w:t xml:space="preserve"> </w:t>
      </w:r>
      <w:r w:rsidR="00A75F97">
        <w:t xml:space="preserve">Obviously, Spitzer disagreed. Spitzer </w:t>
      </w:r>
      <w:r w:rsidR="00390AC2">
        <w:t>claimed Texas law “approves the cardinal change doctrine,” citing</w:t>
      </w:r>
      <w:r w:rsidR="00A75F97">
        <w:t xml:space="preserve"> to </w:t>
      </w:r>
      <w:r w:rsidR="00A75F97">
        <w:rPr>
          <w:i/>
          <w:iCs/>
        </w:rPr>
        <w:t>Home</w:t>
      </w:r>
      <w:r w:rsidR="004F6762">
        <w:rPr>
          <w:i/>
          <w:iCs/>
        </w:rPr>
        <w:t>place</w:t>
      </w:r>
      <w:r w:rsidR="00A75F97">
        <w:rPr>
          <w:i/>
          <w:iCs/>
        </w:rPr>
        <w:t xml:space="preserve"> Homes </w:t>
      </w:r>
      <w:r w:rsidR="00A75F97">
        <w:t xml:space="preserve">and </w:t>
      </w:r>
      <w:r w:rsidR="00A75F97">
        <w:rPr>
          <w:i/>
          <w:iCs/>
        </w:rPr>
        <w:t>Bd. of Regents v. S &amp; G Constr. Co.</w:t>
      </w:r>
      <w:r w:rsidR="00CD08AE">
        <w:t xml:space="preserve"> (but not </w:t>
      </w:r>
      <w:r w:rsidR="00CD08AE">
        <w:rPr>
          <w:i/>
          <w:iCs/>
        </w:rPr>
        <w:t>Davis</w:t>
      </w:r>
      <w:r w:rsidR="00CD08AE">
        <w:t>).</w:t>
      </w:r>
      <w:r w:rsidR="00A75F97" w:rsidRPr="00CD08AE">
        <w:rPr>
          <w:rStyle w:val="FootnoteReference"/>
        </w:rPr>
        <w:footnoteReference w:id="134"/>
      </w:r>
      <w:r w:rsidR="00CD08AE">
        <w:t xml:space="preserve"> </w:t>
      </w:r>
    </w:p>
    <w:p w14:paraId="3C9A2F81" w14:textId="29E665F9" w:rsidR="006228E8" w:rsidRPr="00A75F97" w:rsidRDefault="006228E8" w:rsidP="003C34D9">
      <w:pPr>
        <w:jc w:val="both"/>
      </w:pPr>
      <w:r>
        <w:tab/>
        <w:t>Who was right? The answer probably depends on who you ask</w:t>
      </w:r>
      <w:r w:rsidR="00E343F1">
        <w:t>.</w:t>
      </w:r>
      <w:r>
        <w:t xml:space="preserve"> </w:t>
      </w:r>
      <w:r w:rsidR="00E343F1">
        <w:t>T</w:t>
      </w:r>
      <w:r>
        <w:t>he parties settled before briefing closed</w:t>
      </w:r>
      <w:r w:rsidR="00E343F1">
        <w:t>,</w:t>
      </w:r>
      <w:r w:rsidR="00C95361">
        <w:rPr>
          <w:rStyle w:val="FootnoteReference"/>
        </w:rPr>
        <w:footnoteReference w:id="135"/>
      </w:r>
      <w:r>
        <w:t xml:space="preserve"> </w:t>
      </w:r>
      <w:r w:rsidR="00AE2B09">
        <w:t xml:space="preserve">meaning </w:t>
      </w:r>
      <w:r>
        <w:t>the court of appeals never answered these questions.</w:t>
      </w:r>
      <w:r w:rsidR="00C95361">
        <w:t xml:space="preserve"> Nonetheless, the case</w:t>
      </w:r>
      <w:r w:rsidR="00220B4B">
        <w:t>—along with the others mentioned above—</w:t>
      </w:r>
      <w:r w:rsidR="00C95361">
        <w:t>provides an opportunity to examine some important legal issues that inform how a party should construct</w:t>
      </w:r>
      <w:r w:rsidR="00C95361">
        <w:rPr>
          <w:rStyle w:val="FootnoteReference"/>
        </w:rPr>
        <w:footnoteReference w:id="136"/>
      </w:r>
      <w:r w:rsidR="00C95361">
        <w:t xml:space="preserve"> a cardinal change claim.</w:t>
      </w:r>
    </w:p>
    <w:p w14:paraId="7FCC1B39" w14:textId="7E7B032F" w:rsidR="00C66534" w:rsidRDefault="00CD08AE" w:rsidP="00CD08AE">
      <w:pPr>
        <w:pStyle w:val="ListParagraph"/>
        <w:numPr>
          <w:ilvl w:val="0"/>
          <w:numId w:val="6"/>
        </w:numPr>
        <w:jc w:val="both"/>
      </w:pPr>
      <w:r>
        <w:rPr>
          <w:b/>
          <w:bCs/>
        </w:rPr>
        <w:t xml:space="preserve">The </w:t>
      </w:r>
      <w:r w:rsidR="00D2144E">
        <w:rPr>
          <w:b/>
          <w:bCs/>
        </w:rPr>
        <w:t>c</w:t>
      </w:r>
      <w:r>
        <w:rPr>
          <w:b/>
          <w:bCs/>
        </w:rPr>
        <w:t xml:space="preserve">ardinal </w:t>
      </w:r>
      <w:r w:rsidR="00D2144E">
        <w:rPr>
          <w:b/>
          <w:bCs/>
        </w:rPr>
        <w:t>c</w:t>
      </w:r>
      <w:r>
        <w:rPr>
          <w:b/>
          <w:bCs/>
        </w:rPr>
        <w:t xml:space="preserve">hange </w:t>
      </w:r>
      <w:r w:rsidR="00D2144E">
        <w:rPr>
          <w:b/>
          <w:bCs/>
        </w:rPr>
        <w:t>d</w:t>
      </w:r>
      <w:r>
        <w:rPr>
          <w:b/>
          <w:bCs/>
        </w:rPr>
        <w:t xml:space="preserve">octrine is </w:t>
      </w:r>
      <w:r w:rsidR="00D2144E">
        <w:rPr>
          <w:b/>
          <w:bCs/>
        </w:rPr>
        <w:t>a</w:t>
      </w:r>
      <w:r>
        <w:rPr>
          <w:b/>
          <w:bCs/>
        </w:rPr>
        <w:t xml:space="preserve">live and </w:t>
      </w:r>
      <w:r w:rsidR="00D2144E">
        <w:rPr>
          <w:b/>
          <w:bCs/>
        </w:rPr>
        <w:t>w</w:t>
      </w:r>
      <w:r>
        <w:rPr>
          <w:b/>
          <w:bCs/>
        </w:rPr>
        <w:t>ell in Texas.</w:t>
      </w:r>
      <w:r w:rsidR="000B00B5">
        <w:rPr>
          <w:b/>
          <w:bCs/>
        </w:rPr>
        <w:t xml:space="preserve"> </w:t>
      </w:r>
      <w:r w:rsidR="007F7DDF">
        <w:t xml:space="preserve">The Texas Supreme Court has never overruled </w:t>
      </w:r>
      <w:r w:rsidR="007F7DDF">
        <w:rPr>
          <w:i/>
          <w:iCs/>
        </w:rPr>
        <w:t>Davis</w:t>
      </w:r>
      <w:r w:rsidR="007F7DDF">
        <w:t xml:space="preserve">, and plaintiffs have successfully used cardinal change as a basis for recovery at the trial level. As a result, practitioners should consider a claim based </w:t>
      </w:r>
      <w:proofErr w:type="gramStart"/>
      <w:r w:rsidR="007F7DDF">
        <w:t>in</w:t>
      </w:r>
      <w:proofErr w:type="gramEnd"/>
      <w:r w:rsidR="007F7DDF">
        <w:t xml:space="preserve"> cardinal change as potentially viable, subject to the limitations discussed further below.</w:t>
      </w:r>
    </w:p>
    <w:p w14:paraId="12003D25" w14:textId="77777777" w:rsidR="007F7DDF" w:rsidRPr="00CD08AE" w:rsidRDefault="007F7DDF" w:rsidP="007F7DDF">
      <w:pPr>
        <w:pStyle w:val="ListParagraph"/>
        <w:ind w:left="1080"/>
        <w:jc w:val="both"/>
      </w:pPr>
    </w:p>
    <w:p w14:paraId="7BA898DE" w14:textId="6361FF9D" w:rsidR="00CD08AE" w:rsidRPr="007F7DDF" w:rsidRDefault="00CD08AE" w:rsidP="00CD08AE">
      <w:pPr>
        <w:pStyle w:val="ListParagraph"/>
        <w:numPr>
          <w:ilvl w:val="0"/>
          <w:numId w:val="6"/>
        </w:numPr>
        <w:jc w:val="both"/>
      </w:pPr>
      <w:r w:rsidRPr="00CD08AE">
        <w:rPr>
          <w:b/>
          <w:bCs/>
        </w:rPr>
        <w:t xml:space="preserve">A </w:t>
      </w:r>
      <w:r w:rsidR="00D2144E">
        <w:rPr>
          <w:b/>
          <w:bCs/>
        </w:rPr>
        <w:t>c</w:t>
      </w:r>
      <w:r w:rsidR="00D2144E" w:rsidRPr="00CD08AE">
        <w:rPr>
          <w:b/>
          <w:bCs/>
        </w:rPr>
        <w:t xml:space="preserve">ardinal </w:t>
      </w:r>
      <w:r w:rsidR="00D2144E">
        <w:rPr>
          <w:b/>
          <w:bCs/>
        </w:rPr>
        <w:t>c</w:t>
      </w:r>
      <w:r w:rsidR="00D2144E" w:rsidRPr="00CD08AE">
        <w:rPr>
          <w:b/>
          <w:bCs/>
        </w:rPr>
        <w:t xml:space="preserve">hange </w:t>
      </w:r>
      <w:r w:rsidR="00D2144E">
        <w:rPr>
          <w:b/>
          <w:bCs/>
        </w:rPr>
        <w:t>c</w:t>
      </w:r>
      <w:r w:rsidR="00D2144E" w:rsidRPr="00CD08AE">
        <w:rPr>
          <w:b/>
          <w:bCs/>
        </w:rPr>
        <w:t xml:space="preserve">laim </w:t>
      </w:r>
      <w:r w:rsidR="00D2144E">
        <w:rPr>
          <w:b/>
          <w:bCs/>
        </w:rPr>
        <w:t>p</w:t>
      </w:r>
      <w:r w:rsidR="00D2144E" w:rsidRPr="00CD08AE">
        <w:rPr>
          <w:b/>
          <w:bCs/>
        </w:rPr>
        <w:t xml:space="preserve">robably </w:t>
      </w:r>
      <w:r w:rsidR="00D2144E">
        <w:rPr>
          <w:b/>
          <w:bCs/>
        </w:rPr>
        <w:t xml:space="preserve">cannot survive </w:t>
      </w:r>
      <w:r>
        <w:rPr>
          <w:b/>
          <w:bCs/>
        </w:rPr>
        <w:t xml:space="preserve">a </w:t>
      </w:r>
      <w:r w:rsidR="00D2144E">
        <w:rPr>
          <w:b/>
          <w:bCs/>
        </w:rPr>
        <w:t>bilateral change order provision without additional facts</w:t>
      </w:r>
      <w:r w:rsidR="007F7DDF">
        <w:rPr>
          <w:b/>
          <w:bCs/>
        </w:rPr>
        <w:t>.</w:t>
      </w:r>
      <w:r w:rsidR="007F7DDF">
        <w:t xml:space="preserve"> Most cardinal change cases, including those in Texas, involve a situation where (1) the project owner or upstream contractor exercised unilateral authority to modify the contract’s scope of work; (2) the parties agreed to abandon a bilateral change order procedure entirely; or (3) the changes to the project made compliance with the change order procedure impossible. This makes a cardinal change claim ill-suited for cases in which the parties executed a bilateral change order to modify their scope of work. The most common way this type of dispute may arise is a “cumulative impact” or “loss of productivity claim” where a party signs a change order at a</w:t>
      </w:r>
      <w:r w:rsidR="006C1554">
        <w:t>n agreed price</w:t>
      </w:r>
      <w:r w:rsidR="007F7DDF">
        <w:t xml:space="preserve">, but later claims that the change (or </w:t>
      </w:r>
      <w:r w:rsidR="009A1609">
        <w:t>several</w:t>
      </w:r>
      <w:r w:rsidR="007F7DDF">
        <w:t xml:space="preserve"> changes) </w:t>
      </w:r>
      <w:r w:rsidR="006C1554">
        <w:t xml:space="preserve">resulted in additional knock-on effects on the contractor’s costs. </w:t>
      </w:r>
      <w:r w:rsidR="00B60D85">
        <w:t>The limited case law on the subject from other jurisdictions suggests that claims seeking to recover those costs under a cardinal change theory would not be successful.</w:t>
      </w:r>
      <w:r w:rsidR="00B60D85">
        <w:rPr>
          <w:rStyle w:val="FootnoteReference"/>
        </w:rPr>
        <w:footnoteReference w:id="137"/>
      </w:r>
      <w:r w:rsidR="00B60D85">
        <w:t xml:space="preserve"> Considering Texas’s new statute, which authorizes parties to insist on a bilateral change order if changes increase the</w:t>
      </w:r>
      <w:r w:rsidR="00A114DB">
        <w:t xml:space="preserve"> original</w:t>
      </w:r>
      <w:r w:rsidR="00B60D85">
        <w:t xml:space="preserve"> contract price </w:t>
      </w:r>
      <w:r w:rsidR="00B60D85">
        <w:lastRenderedPageBreak/>
        <w:t>by more than 10 percent,</w:t>
      </w:r>
      <w:r w:rsidR="00AB61D3">
        <w:rPr>
          <w:rStyle w:val="FootnoteReference"/>
        </w:rPr>
        <w:footnoteReference w:id="138"/>
      </w:r>
      <w:r w:rsidR="00AB61D3">
        <w:t xml:space="preserve"> the subset of cases appropriate for a cardinal change claim in Texas may continue to get smaller.</w:t>
      </w:r>
    </w:p>
    <w:p w14:paraId="27BC4657" w14:textId="77777777" w:rsidR="007F7DDF" w:rsidRPr="007F7DDF" w:rsidRDefault="007F7DDF" w:rsidP="007F7DDF">
      <w:pPr>
        <w:pStyle w:val="ListParagraph"/>
        <w:ind w:left="1080"/>
        <w:jc w:val="both"/>
      </w:pPr>
    </w:p>
    <w:p w14:paraId="695301E8" w14:textId="3E09F3E6" w:rsidR="0011417E" w:rsidRPr="00534B5F" w:rsidRDefault="0011417E" w:rsidP="0011417E">
      <w:pPr>
        <w:pStyle w:val="ListParagraph"/>
        <w:numPr>
          <w:ilvl w:val="0"/>
          <w:numId w:val="6"/>
        </w:numPr>
        <w:jc w:val="both"/>
        <w:rPr>
          <w:b/>
          <w:bCs/>
        </w:rPr>
      </w:pPr>
      <w:r w:rsidRPr="00534B5F">
        <w:rPr>
          <w:b/>
          <w:bCs/>
        </w:rPr>
        <w:t xml:space="preserve">Plaintiffs seeking to recover for </w:t>
      </w:r>
      <w:r w:rsidR="00AB61D3">
        <w:rPr>
          <w:b/>
          <w:bCs/>
        </w:rPr>
        <w:t>c</w:t>
      </w:r>
      <w:r w:rsidRPr="00534B5F">
        <w:rPr>
          <w:b/>
          <w:bCs/>
        </w:rPr>
        <w:t xml:space="preserve">ardinal </w:t>
      </w:r>
      <w:r w:rsidR="00AB61D3">
        <w:rPr>
          <w:b/>
          <w:bCs/>
        </w:rPr>
        <w:t>c</w:t>
      </w:r>
      <w:r w:rsidRPr="00534B5F">
        <w:rPr>
          <w:b/>
          <w:bCs/>
        </w:rPr>
        <w:t xml:space="preserve">hange should provide measurable, quantitative evidence to demonstrate the nature of the changed work. </w:t>
      </w:r>
      <w:r>
        <w:t xml:space="preserve">In 2024, Tim Matheny provided an excellent presentation at this conference that included a discussion on the evidence courts </w:t>
      </w:r>
      <w:proofErr w:type="gramStart"/>
      <w:r>
        <w:t>have examined</w:t>
      </w:r>
      <w:proofErr w:type="gramEnd"/>
      <w:r>
        <w:t xml:space="preserve"> </w:t>
      </w:r>
      <w:r w:rsidR="00AB61D3">
        <w:t>to determine whether a cardinal change occurred</w:t>
      </w:r>
      <w:r>
        <w:t>.</w:t>
      </w:r>
      <w:r>
        <w:rPr>
          <w:rStyle w:val="FootnoteReference"/>
        </w:rPr>
        <w:footnoteReference w:id="139"/>
      </w:r>
      <w:r>
        <w:t xml:space="preserve"> </w:t>
      </w:r>
      <w:r w:rsidR="00742D85">
        <w:t>The</w:t>
      </w:r>
      <w:r>
        <w:t xml:space="preserve"> plaintiff’s trial victory in </w:t>
      </w:r>
      <w:r>
        <w:rPr>
          <w:i/>
          <w:iCs/>
        </w:rPr>
        <w:t>Weatherford</w:t>
      </w:r>
      <w:r>
        <w:t xml:space="preserve"> provides a</w:t>
      </w:r>
      <w:r w:rsidR="00AB61D3">
        <w:t>nother</w:t>
      </w:r>
      <w:r>
        <w:t xml:space="preserve"> helpful example. The evidence </w:t>
      </w:r>
      <w:r w:rsidR="00742D85">
        <w:t xml:space="preserve">presented </w:t>
      </w:r>
      <w:r>
        <w:t>was not only quantitative but also contrasted directly with the original contracted scope (</w:t>
      </w:r>
      <w:r>
        <w:rPr>
          <w:i/>
          <w:iCs/>
        </w:rPr>
        <w:t>e.g.</w:t>
      </w:r>
      <w:r>
        <w:t>, testimony that the project’s 441-day duration was more than twice as long as originally contemplated, as well as evidence regarding the quantity increases in materials, both in raw numbers and as a percentage of the original scope). Experts testified that these increases fell “far outside industry norms.”</w:t>
      </w:r>
      <w:r w:rsidR="00AE2B09">
        <w:rPr>
          <w:rStyle w:val="FootnoteReference"/>
        </w:rPr>
        <w:footnoteReference w:id="140"/>
      </w:r>
      <w:r w:rsidR="00D707A4">
        <w:t xml:space="preserve"> Parties looking to prove up a cardinal change claim should consider propounding similarly specific and detailed evidence.</w:t>
      </w:r>
    </w:p>
    <w:p w14:paraId="58887826" w14:textId="77777777" w:rsidR="0011417E" w:rsidRPr="0011417E" w:rsidRDefault="0011417E" w:rsidP="0011417E">
      <w:pPr>
        <w:pStyle w:val="ListParagraph"/>
        <w:rPr>
          <w:b/>
          <w:bCs/>
        </w:rPr>
      </w:pPr>
    </w:p>
    <w:p w14:paraId="7B765EEC" w14:textId="22A8CEE2" w:rsidR="00D93766" w:rsidRDefault="00CD08AE" w:rsidP="0020013C">
      <w:pPr>
        <w:pStyle w:val="ListParagraph"/>
        <w:numPr>
          <w:ilvl w:val="0"/>
          <w:numId w:val="6"/>
        </w:numPr>
        <w:jc w:val="both"/>
      </w:pPr>
      <w:r>
        <w:rPr>
          <w:b/>
          <w:bCs/>
        </w:rPr>
        <w:t xml:space="preserve">Breach of </w:t>
      </w:r>
      <w:r w:rsidR="00A114DB">
        <w:rPr>
          <w:b/>
          <w:bCs/>
        </w:rPr>
        <w:t>c</w:t>
      </w:r>
      <w:r>
        <w:rPr>
          <w:b/>
          <w:bCs/>
        </w:rPr>
        <w:t xml:space="preserve">ontract or </w:t>
      </w:r>
      <w:r w:rsidR="00A114DB">
        <w:rPr>
          <w:b/>
          <w:bCs/>
        </w:rPr>
        <w:t>q</w:t>
      </w:r>
      <w:r>
        <w:rPr>
          <w:b/>
          <w:bCs/>
        </w:rPr>
        <w:t xml:space="preserve">uantum </w:t>
      </w:r>
      <w:r w:rsidR="00A114DB">
        <w:rPr>
          <w:b/>
          <w:bCs/>
        </w:rPr>
        <w:t>m</w:t>
      </w:r>
      <w:r>
        <w:rPr>
          <w:b/>
          <w:bCs/>
        </w:rPr>
        <w:t xml:space="preserve">eruit? Plaintiffs </w:t>
      </w:r>
      <w:r w:rsidR="00D2144E">
        <w:rPr>
          <w:b/>
          <w:bCs/>
        </w:rPr>
        <w:t>s</w:t>
      </w:r>
      <w:r>
        <w:rPr>
          <w:b/>
          <w:bCs/>
        </w:rPr>
        <w:t xml:space="preserve">hould </w:t>
      </w:r>
      <w:r w:rsidR="00D2144E">
        <w:rPr>
          <w:b/>
          <w:bCs/>
        </w:rPr>
        <w:t>p</w:t>
      </w:r>
      <w:r>
        <w:rPr>
          <w:b/>
          <w:bCs/>
        </w:rPr>
        <w:t xml:space="preserve">lead </w:t>
      </w:r>
      <w:r w:rsidR="00D2144E">
        <w:rPr>
          <w:b/>
          <w:bCs/>
        </w:rPr>
        <w:t>b</w:t>
      </w:r>
      <w:r>
        <w:rPr>
          <w:b/>
          <w:bCs/>
        </w:rPr>
        <w:t>oth</w:t>
      </w:r>
      <w:r w:rsidR="00EA3094">
        <w:rPr>
          <w:b/>
          <w:bCs/>
        </w:rPr>
        <w:t>.</w:t>
      </w:r>
      <w:r w:rsidR="006C1554">
        <w:rPr>
          <w:b/>
          <w:bCs/>
        </w:rPr>
        <w:t xml:space="preserve"> </w:t>
      </w:r>
      <w:r w:rsidR="006C1554" w:rsidRPr="006C1554">
        <w:t xml:space="preserve">Courts grappling with cardinal change claims inconsistently </w:t>
      </w:r>
      <w:r w:rsidR="006C1554">
        <w:t>describe a cardinal change to the contract as (1) a breach of contract; and (2) an action creating a new implied contract for which a contractor can recover the reasonable value of the work (</w:t>
      </w:r>
      <w:r w:rsidR="006C1554">
        <w:rPr>
          <w:i/>
          <w:iCs/>
        </w:rPr>
        <w:t xml:space="preserve">i.e., </w:t>
      </w:r>
      <w:r w:rsidR="006C1554">
        <w:t xml:space="preserve">quantum meruit). Which one is correct? The trial court in </w:t>
      </w:r>
      <w:r w:rsidR="006C1554">
        <w:rPr>
          <w:i/>
          <w:iCs/>
        </w:rPr>
        <w:t xml:space="preserve">Weatherford </w:t>
      </w:r>
      <w:r w:rsidR="004E517C">
        <w:t xml:space="preserve">resolved this tension by awarding both forms of relief in the alternative. The court awarded Spitzer its contractual </w:t>
      </w:r>
      <w:proofErr w:type="gramStart"/>
      <w:r w:rsidR="004E517C">
        <w:t>damages</w:t>
      </w:r>
      <w:proofErr w:type="gramEnd"/>
      <w:r w:rsidR="004E517C">
        <w:t xml:space="preserve"> resulting from Weatherford’s cardinal change ($26m), but then alternatively awarded Spitzer the reasonable value of its work ($22m). This would not have been possible without Spitzer providing expert testimony on the reasonable value of its services, and parties should heed this lesson in bringing such claims of their own. </w:t>
      </w:r>
    </w:p>
    <w:p w14:paraId="281C01A2" w14:textId="411578D0" w:rsidR="00F46FA0" w:rsidRDefault="00D93766" w:rsidP="0020013C">
      <w:pPr>
        <w:ind w:firstLine="720"/>
        <w:jc w:val="both"/>
      </w:pPr>
      <w:r>
        <w:t>For what it’s worth, quantum meruit seems</w:t>
      </w:r>
      <w:r w:rsidR="00A2190A">
        <w:t xml:space="preserve"> to be</w:t>
      </w:r>
      <w:r>
        <w:t xml:space="preserve"> the most logical landing place for a cardinal change claim. The entire point of cardinal change is to demonstrate that the work change</w:t>
      </w:r>
      <w:r w:rsidR="00A2190A">
        <w:t>d</w:t>
      </w:r>
      <w:r>
        <w:t xml:space="preserve"> so substantially over the course of a project that the original contract</w:t>
      </w:r>
      <w:r w:rsidR="000E61D6">
        <w:t xml:space="preserve"> can no longer fairly encompass it. That </w:t>
      </w:r>
      <w:r w:rsidR="0011417E">
        <w:t>means the plaintiff’s compensation falls outside the express contract, meaning it would likely arise under quantum meruit or some other kind of implied contractual theory. That said, courts in Texas have not definitively weighed in one way or the other on this question, and litigants should still plead both theories of relief to be safe.</w:t>
      </w:r>
      <w:r>
        <w:t xml:space="preserve"> </w:t>
      </w:r>
    </w:p>
    <w:p w14:paraId="27C23890" w14:textId="77777777" w:rsidR="00E0458C" w:rsidRDefault="00E0458C" w:rsidP="0020013C">
      <w:pPr>
        <w:ind w:firstLine="720"/>
        <w:jc w:val="both"/>
      </w:pPr>
    </w:p>
    <w:p w14:paraId="463CDDF6" w14:textId="78EF57AD" w:rsidR="00F46FA0" w:rsidRPr="0020013C" w:rsidRDefault="00F46FA0" w:rsidP="00F46FA0">
      <w:pPr>
        <w:pStyle w:val="ListParagraph"/>
        <w:numPr>
          <w:ilvl w:val="0"/>
          <w:numId w:val="7"/>
        </w:numPr>
        <w:jc w:val="both"/>
        <w:rPr>
          <w:b/>
          <w:bCs/>
        </w:rPr>
      </w:pPr>
      <w:r w:rsidRPr="0020013C">
        <w:rPr>
          <w:b/>
          <w:bCs/>
        </w:rPr>
        <w:lastRenderedPageBreak/>
        <w:t>Fraud</w:t>
      </w:r>
    </w:p>
    <w:p w14:paraId="0EE09488" w14:textId="6FC88CB1" w:rsidR="00EF3A22" w:rsidRDefault="00442F59" w:rsidP="00EF3A22">
      <w:pPr>
        <w:ind w:firstLine="720"/>
        <w:jc w:val="both"/>
      </w:pPr>
      <w:r>
        <w:t>Much has been said about fraud. This paper cannot, and will not attempt to, cover every detail or nuance. Instead, this section will focus on considerations that commonly arise in construction disputes that may help litigants pursue, or defend against, fraud claims throughout all stages of a dispute.</w:t>
      </w:r>
    </w:p>
    <w:p w14:paraId="158CC6CC" w14:textId="513B66E6" w:rsidR="007C5A2D" w:rsidRPr="0020013C" w:rsidRDefault="007C5A2D" w:rsidP="007C5A2D">
      <w:pPr>
        <w:pStyle w:val="ListParagraph"/>
        <w:numPr>
          <w:ilvl w:val="0"/>
          <w:numId w:val="14"/>
        </w:numPr>
        <w:jc w:val="both"/>
        <w:rPr>
          <w:b/>
          <w:bCs/>
        </w:rPr>
      </w:pPr>
      <w:r w:rsidRPr="0020013C">
        <w:rPr>
          <w:b/>
          <w:bCs/>
        </w:rPr>
        <w:t>Pleading Considerations</w:t>
      </w:r>
    </w:p>
    <w:p w14:paraId="6967249C" w14:textId="77777777" w:rsidR="004E2414" w:rsidRDefault="00D902BC" w:rsidP="00D902BC">
      <w:pPr>
        <w:ind w:firstLine="720"/>
        <w:jc w:val="both"/>
      </w:pPr>
      <w:r>
        <w:t>As an important starting point, most claims alleging “fraud” in the context of a construction project are a “species of common law fraud” known as fraudulent inducement.</w:t>
      </w:r>
      <w:r>
        <w:rPr>
          <w:rStyle w:val="FootnoteReference"/>
        </w:rPr>
        <w:footnoteReference w:id="141"/>
      </w:r>
      <w:r>
        <w:t xml:space="preserve"> Most practitioners are familiar with fraudulent inducement’s elements, which include (1) a material misrepresentation made by the defendant; (2) with knowledge that the representation was false (or without knowledge as to whether the statement was true); (3) with the intent that the plaintiff should rely or act on the misrepresentation; (4) upon which plaintiff justifiably relied; and (5) such reliance caused plaintiff injury.</w:t>
      </w:r>
      <w:r>
        <w:rPr>
          <w:rStyle w:val="FootnoteReference"/>
        </w:rPr>
        <w:footnoteReference w:id="142"/>
      </w:r>
      <w:r>
        <w:t xml:space="preserve"> In a fraudulent inducement claim, the misrepresentation occurs when a defendant falsely promises to perform a future act while having no present intent to perform it, while the plaintiff’s reliance results in the formation of a contract between the parties.</w:t>
      </w:r>
      <w:r>
        <w:rPr>
          <w:rStyle w:val="FootnoteReference"/>
        </w:rPr>
        <w:footnoteReference w:id="143"/>
      </w:r>
      <w:r>
        <w:t xml:space="preserve"> </w:t>
      </w:r>
    </w:p>
    <w:p w14:paraId="35F1EDE8" w14:textId="1A0FF034" w:rsidR="007C5A2D" w:rsidRDefault="004E2414" w:rsidP="007F4D89">
      <w:pPr>
        <w:ind w:firstLine="720"/>
        <w:jc w:val="both"/>
      </w:pPr>
      <w:r>
        <w:t xml:space="preserve">The Texas Supreme Court has </w:t>
      </w:r>
      <w:r w:rsidR="007F4D89">
        <w:t>clarified</w:t>
      </w:r>
      <w:r>
        <w:t xml:space="preserve"> that </w:t>
      </w:r>
      <w:r w:rsidR="00E301BE">
        <w:t>if a plaintiff alleges it relied on a misrepresentation by entering into a contract with the defendant, the claim lies in fraudulent inducement</w:t>
      </w:r>
      <w:r w:rsidR="00991D75">
        <w:t xml:space="preserve"> regardless of how the plaintiff characterizes it</w:t>
      </w:r>
      <w:r w:rsidR="00E301BE">
        <w:t>.</w:t>
      </w:r>
      <w:r w:rsidR="00E301BE">
        <w:rPr>
          <w:rStyle w:val="FootnoteReference"/>
        </w:rPr>
        <w:footnoteReference w:id="144"/>
      </w:r>
      <w:r w:rsidR="00FA7359">
        <w:t xml:space="preserve"> For instance, in </w:t>
      </w:r>
      <w:r w:rsidR="00FA7359">
        <w:rPr>
          <w:i/>
          <w:iCs/>
        </w:rPr>
        <w:t>IBM</w:t>
      </w:r>
      <w:r w:rsidR="00FA7359">
        <w:t>, the appellant brought a claim against IBM for “string-along fraud,” alleging IBM made multiple false statements after contract execution to induce the appellant to agree to delay their agreed “go-live date” and pay more money.</w:t>
      </w:r>
      <w:r w:rsidR="00FA7359">
        <w:rPr>
          <w:rStyle w:val="FootnoteReference"/>
        </w:rPr>
        <w:footnoteReference w:id="145"/>
      </w:r>
      <w:r w:rsidR="007F4D89">
        <w:t xml:space="preserve"> The court examined this claim and noted that the appellant’s string-along-fraud claim was “also a fraudulent-inducement claim, because it assert[ed] that I</w:t>
      </w:r>
      <w:r w:rsidR="00C259DD">
        <w:t>BM</w:t>
      </w:r>
      <w:r w:rsidR="007F4D89">
        <w:t>’s continued misrepresentations induced [the appellant] to agree to IBM’s project change requests.”</w:t>
      </w:r>
      <w:r w:rsidR="007F4D89">
        <w:rPr>
          <w:rStyle w:val="FootnoteReference"/>
        </w:rPr>
        <w:footnoteReference w:id="146"/>
      </w:r>
      <w:r w:rsidR="007F4D89">
        <w:t xml:space="preserve"> As discussed further below, that characterization is no mere formality</w:t>
      </w:r>
      <w:r w:rsidR="00C259DD">
        <w:t xml:space="preserve"> and </w:t>
      </w:r>
      <w:r w:rsidR="007F4D89">
        <w:t>can have significant consequences.</w:t>
      </w:r>
    </w:p>
    <w:p w14:paraId="1ECBD0B9" w14:textId="4AFEEF43" w:rsidR="00CE04D7" w:rsidRDefault="00CE04D7" w:rsidP="00CE04D7">
      <w:pPr>
        <w:ind w:firstLine="720"/>
        <w:jc w:val="both"/>
      </w:pPr>
      <w:r>
        <w:t>Practitioners often view fraud</w:t>
      </w:r>
      <w:r w:rsidR="002E0406">
        <w:t>ulent inducement</w:t>
      </w:r>
      <w:r>
        <w:t xml:space="preserve">, with some derision, as an exclamation point on a lawsuit rather than a viable, standalone claim. But as </w:t>
      </w:r>
      <w:r>
        <w:rPr>
          <w:i/>
          <w:iCs/>
        </w:rPr>
        <w:t xml:space="preserve">Formosa Plastics Corp. v. Presidio </w:t>
      </w:r>
      <w:r>
        <w:t>and other</w:t>
      </w:r>
      <w:r w:rsidR="00AE2B09">
        <w:t xml:space="preserve"> cases</w:t>
      </w:r>
      <w:r w:rsidR="00375B54">
        <w:t xml:space="preserve"> </w:t>
      </w:r>
      <w:r w:rsidR="002E0406">
        <w:t>remind us</w:t>
      </w:r>
      <w:r>
        <w:t>, fraud claims can be deadly serious.</w:t>
      </w:r>
      <w:r>
        <w:rPr>
          <w:rStyle w:val="FootnoteReference"/>
        </w:rPr>
        <w:footnoteReference w:id="147"/>
      </w:r>
      <w:r w:rsidR="002E0406">
        <w:t xml:space="preserve"> This section examines two elements to consider when evaluating the strength of a fraud pleading.</w:t>
      </w:r>
    </w:p>
    <w:p w14:paraId="72A81B67" w14:textId="77777777" w:rsidR="00E0458C" w:rsidRDefault="00E0458C" w:rsidP="00CE04D7">
      <w:pPr>
        <w:ind w:firstLine="720"/>
        <w:jc w:val="both"/>
      </w:pPr>
    </w:p>
    <w:p w14:paraId="712A6AC0" w14:textId="77777777" w:rsidR="00E0458C" w:rsidRDefault="00E0458C" w:rsidP="00CE04D7">
      <w:pPr>
        <w:ind w:firstLine="720"/>
        <w:jc w:val="both"/>
      </w:pPr>
    </w:p>
    <w:p w14:paraId="082DF7F4" w14:textId="0988CEF2" w:rsidR="00631875" w:rsidRPr="0020013C" w:rsidRDefault="002E0406" w:rsidP="000B5C1C">
      <w:pPr>
        <w:pStyle w:val="ListParagraph"/>
        <w:numPr>
          <w:ilvl w:val="0"/>
          <w:numId w:val="15"/>
        </w:numPr>
        <w:jc w:val="both"/>
        <w:rPr>
          <w:b/>
          <w:bCs/>
        </w:rPr>
      </w:pPr>
      <w:r w:rsidRPr="0020013C">
        <w:rPr>
          <w:b/>
          <w:bCs/>
        </w:rPr>
        <w:lastRenderedPageBreak/>
        <w:t>The False Statement</w:t>
      </w:r>
    </w:p>
    <w:p w14:paraId="01D8AB6B" w14:textId="6B5EA519" w:rsidR="002E0406" w:rsidRDefault="002E0406" w:rsidP="00001BD0">
      <w:pPr>
        <w:ind w:firstLine="720"/>
        <w:jc w:val="both"/>
      </w:pPr>
      <w:r>
        <w:t>A plaintiff in a fraudulent inducement action must establish a false statement made with no intent by the defendant to perform.</w:t>
      </w:r>
      <w:r w:rsidR="00D21BB0">
        <w:rPr>
          <w:rStyle w:val="FootnoteReference"/>
        </w:rPr>
        <w:footnoteReference w:id="148"/>
      </w:r>
      <w:r>
        <w:t xml:space="preserve"> </w:t>
      </w:r>
      <w:r w:rsidR="00C259DD">
        <w:t>Such a promise must be “specific and definite enough” for it to be reasonable to rely upon it.</w:t>
      </w:r>
      <w:r w:rsidR="00C259DD">
        <w:rPr>
          <w:rStyle w:val="FootnoteReference"/>
        </w:rPr>
        <w:footnoteReference w:id="149"/>
      </w:r>
      <w:r w:rsidR="00C259DD">
        <w:t xml:space="preserve"> </w:t>
      </w:r>
      <w:r w:rsidR="008764E1">
        <w:t>This burden is “not easy, as intent to defraud is not usually susceptible to direct proof.”</w:t>
      </w:r>
      <w:r w:rsidR="008764E1">
        <w:rPr>
          <w:rStyle w:val="FootnoteReference"/>
        </w:rPr>
        <w:footnoteReference w:id="150"/>
      </w:r>
      <w:r w:rsidR="008764E1">
        <w:t xml:space="preserve"> Moreover, “breach alone is no evidence that breach was intended when the contract was originally made.”</w:t>
      </w:r>
      <w:r w:rsidR="008764E1">
        <w:rPr>
          <w:rStyle w:val="FootnoteReference"/>
        </w:rPr>
        <w:footnoteReference w:id="151"/>
      </w:r>
      <w:r w:rsidR="008764E1">
        <w:t xml:space="preserve"> </w:t>
      </w:r>
      <w:r w:rsidR="00C259DD">
        <w:t xml:space="preserve">Plaintiffs must therefore allege </w:t>
      </w:r>
      <w:r w:rsidR="00777195">
        <w:t xml:space="preserve">and prove </w:t>
      </w:r>
      <w:r w:rsidR="00C259DD">
        <w:t>a specific misrepresentation; a failure to do so can leave a claim vulnerable to dismissal, whether in state or federal court.</w:t>
      </w:r>
      <w:r w:rsidR="00C259DD">
        <w:rPr>
          <w:rStyle w:val="FootnoteReference"/>
        </w:rPr>
        <w:footnoteReference w:id="152"/>
      </w:r>
      <w:r w:rsidR="00777195">
        <w:t xml:space="preserve"> Even worse, it could lead to a successful jury verdict that later gets overturned on appeal.</w:t>
      </w:r>
      <w:r w:rsidR="00777195">
        <w:rPr>
          <w:rStyle w:val="FootnoteReference"/>
        </w:rPr>
        <w:footnoteReference w:id="153"/>
      </w:r>
      <w:r w:rsidR="00777195">
        <w:t xml:space="preserve"> If a plaintiff wants to plead a fraudulent inducement claim, they should consider identifying the false statement as early as possible to not only properly plead and support the claim, but also to evaluate whether such a claim is viable in the first instance.</w:t>
      </w:r>
    </w:p>
    <w:p w14:paraId="039D68EA" w14:textId="5E78986F" w:rsidR="007975E0" w:rsidRPr="0020013C" w:rsidRDefault="007C5A2D" w:rsidP="00991D75">
      <w:pPr>
        <w:pStyle w:val="ListParagraph"/>
        <w:numPr>
          <w:ilvl w:val="0"/>
          <w:numId w:val="15"/>
        </w:numPr>
        <w:jc w:val="both"/>
        <w:rPr>
          <w:b/>
          <w:bCs/>
        </w:rPr>
      </w:pPr>
      <w:r w:rsidRPr="0020013C">
        <w:rPr>
          <w:b/>
          <w:bCs/>
        </w:rPr>
        <w:t>Justifiable Relia</w:t>
      </w:r>
      <w:r w:rsidR="00B77BE2" w:rsidRPr="0020013C">
        <w:rPr>
          <w:b/>
          <w:bCs/>
        </w:rPr>
        <w:t>nce</w:t>
      </w:r>
    </w:p>
    <w:p w14:paraId="6CB19734" w14:textId="2BBAA134" w:rsidR="001B6198" w:rsidRDefault="001B6198" w:rsidP="001B6198">
      <w:pPr>
        <w:ind w:firstLine="720"/>
        <w:jc w:val="both"/>
      </w:pPr>
      <w:r>
        <w:t>Plaintiffs asserting a fraudulent inducement claim can only recover if their reliance on a defendant’s misrepresentation was justifiable.</w:t>
      </w:r>
      <w:r w:rsidR="00D8389F">
        <w:t xml:space="preserve"> Although justifiable reliance “usually presents a question of fact,”</w:t>
      </w:r>
      <w:r w:rsidR="00D8389F">
        <w:rPr>
          <w:rStyle w:val="FootnoteReference"/>
        </w:rPr>
        <w:footnoteReference w:id="154"/>
      </w:r>
      <w:r w:rsidR="00D8389F">
        <w:t xml:space="preserve"> it can be negated as a matter of law “when circumstances exist under which reliance cannot be justified.”</w:t>
      </w:r>
      <w:r w:rsidR="00D8389F">
        <w:rPr>
          <w:rStyle w:val="FootnoteReference"/>
        </w:rPr>
        <w:footnoteReference w:id="155"/>
      </w:r>
      <w:r w:rsidR="00D8389F">
        <w:t xml:space="preserve"> This rule places a burden on parties entering into agreements </w:t>
      </w:r>
      <w:r w:rsidR="00667691">
        <w:t>to identify “red flags” that may indicate reliance is unwarranted.</w:t>
      </w:r>
      <w:r w:rsidR="00667691">
        <w:rPr>
          <w:rStyle w:val="FootnoteReference"/>
        </w:rPr>
        <w:footnoteReference w:id="156"/>
      </w:r>
      <w:r w:rsidR="00667691">
        <w:t xml:space="preserve"> Justifiable reliance also requires more than “mere confidence in the honesty and integrity of the other party.”</w:t>
      </w:r>
      <w:r w:rsidR="00667691">
        <w:rPr>
          <w:rStyle w:val="FootnoteReference"/>
        </w:rPr>
        <w:footnoteReference w:id="157"/>
      </w:r>
      <w:r w:rsidR="00A21E0B">
        <w:t xml:space="preserve"> Instead, the defrauded party “must exercise ordinary care for the protection of his own interests and is charged with knowledge of all facts which would have been discovered by a reasonably prudent person similarly situated.</w:t>
      </w:r>
      <w:r w:rsidR="00A21E0B">
        <w:rPr>
          <w:rStyle w:val="FootnoteReference"/>
        </w:rPr>
        <w:footnoteReference w:id="158"/>
      </w:r>
      <w:r w:rsidR="0011538C">
        <w:t xml:space="preserve"> </w:t>
      </w:r>
    </w:p>
    <w:p w14:paraId="3D606BE2" w14:textId="41D77405" w:rsidR="0011538C" w:rsidRDefault="0011538C" w:rsidP="001B6198">
      <w:pPr>
        <w:ind w:firstLine="720"/>
        <w:jc w:val="both"/>
      </w:pPr>
      <w:r>
        <w:t>The section below discusses two situations that can arise in construction projects and that may impact a party’s ability to claim justifiable reliance.</w:t>
      </w:r>
    </w:p>
    <w:p w14:paraId="68CCFFC5" w14:textId="77777777" w:rsidR="00E0458C" w:rsidRDefault="00E0458C" w:rsidP="001B6198">
      <w:pPr>
        <w:ind w:firstLine="720"/>
        <w:jc w:val="both"/>
      </w:pPr>
    </w:p>
    <w:p w14:paraId="064BFED6" w14:textId="1A5E95A2" w:rsidR="00B77BE2" w:rsidRPr="0020013C" w:rsidRDefault="00B77BE2" w:rsidP="00B77BE2">
      <w:pPr>
        <w:pStyle w:val="ListParagraph"/>
        <w:numPr>
          <w:ilvl w:val="1"/>
          <w:numId w:val="15"/>
        </w:numPr>
        <w:jc w:val="both"/>
        <w:rPr>
          <w:b/>
          <w:bCs/>
        </w:rPr>
      </w:pPr>
      <w:r w:rsidRPr="0020013C">
        <w:rPr>
          <w:b/>
          <w:bCs/>
        </w:rPr>
        <w:lastRenderedPageBreak/>
        <w:t>Competing Contractual Provision</w:t>
      </w:r>
      <w:r w:rsidR="00213FE3" w:rsidRPr="0020013C">
        <w:rPr>
          <w:b/>
          <w:bCs/>
        </w:rPr>
        <w:t>s</w:t>
      </w:r>
      <w:r w:rsidRPr="0020013C">
        <w:rPr>
          <w:b/>
          <w:bCs/>
        </w:rPr>
        <w:t xml:space="preserve"> </w:t>
      </w:r>
    </w:p>
    <w:p w14:paraId="774B2957" w14:textId="372455C5" w:rsidR="00F0497A" w:rsidRDefault="007B4AC9" w:rsidP="00F0497A">
      <w:pPr>
        <w:ind w:firstLine="720"/>
        <w:jc w:val="both"/>
      </w:pPr>
      <w:r>
        <w:t xml:space="preserve">When </w:t>
      </w:r>
      <w:r w:rsidR="00022F4A">
        <w:t xml:space="preserve">a </w:t>
      </w:r>
      <w:r>
        <w:t xml:space="preserve">contract contains </w:t>
      </w:r>
      <w:r w:rsidR="00B77BE2">
        <w:t xml:space="preserve">unambiguous </w:t>
      </w:r>
      <w:r>
        <w:t xml:space="preserve">provisions that directly contradict </w:t>
      </w:r>
      <w:r w:rsidR="00022F4A">
        <w:t xml:space="preserve">an </w:t>
      </w:r>
      <w:r>
        <w:t>allegedly false statement, a party cannot have justifiably relied on the false statement as a matter of law.</w:t>
      </w:r>
      <w:r>
        <w:rPr>
          <w:rStyle w:val="FootnoteReference"/>
        </w:rPr>
        <w:footnoteReference w:id="159"/>
      </w:r>
      <w:r>
        <w:t xml:space="preserve"> </w:t>
      </w:r>
      <w:r w:rsidR="007975E0">
        <w:t>Indeed, the Texas Supreme Court has opined that “when a plaintiff asserts reliance on a misrepresentation that the written contract directly and unambiguously contradicts . . . the existence of such a conflict is itself a large red flag” that can negate justifiable reliance.</w:t>
      </w:r>
      <w:r w:rsidR="007975E0">
        <w:rPr>
          <w:rStyle w:val="FootnoteReference"/>
        </w:rPr>
        <w:footnoteReference w:id="160"/>
      </w:r>
      <w:r w:rsidR="007975E0" w:rsidRPr="007975E0">
        <w:t xml:space="preserve"> </w:t>
      </w:r>
      <w:r w:rsidR="007975E0">
        <w:t xml:space="preserve">This </w:t>
      </w:r>
      <w:r w:rsidR="00667691">
        <w:t xml:space="preserve">can doom a fraudulent inducement claim </w:t>
      </w:r>
      <w:r w:rsidR="00D21BB0">
        <w:t>at its outset</w:t>
      </w:r>
      <w:r w:rsidR="007975E0">
        <w:t>. In January of this year, the Fort Worth Court of Appeals affirmed a trial court’s dismissal with prejudice of a fraudulent inducement claim on this basis under Rule 91a.</w:t>
      </w:r>
      <w:r w:rsidR="007975E0">
        <w:rPr>
          <w:rStyle w:val="FootnoteReference"/>
        </w:rPr>
        <w:footnoteReference w:id="161"/>
      </w:r>
      <w:r w:rsidR="007975E0">
        <w:t xml:space="preserve"> </w:t>
      </w:r>
      <w:r>
        <w:t xml:space="preserve">So when deciding whether a client has a viable fraud claim, parties should </w:t>
      </w:r>
      <w:r w:rsidR="001B6198">
        <w:t>e</w:t>
      </w:r>
      <w:r>
        <w:t xml:space="preserve">xercise extreme caution in pleading their allegedly fraudulent statements. </w:t>
      </w:r>
    </w:p>
    <w:p w14:paraId="7A0AD17E" w14:textId="733950EA" w:rsidR="000B5C1C" w:rsidRPr="0020013C" w:rsidRDefault="00A37326" w:rsidP="00B77BE2">
      <w:pPr>
        <w:pStyle w:val="ListParagraph"/>
        <w:numPr>
          <w:ilvl w:val="1"/>
          <w:numId w:val="15"/>
        </w:numPr>
        <w:jc w:val="both"/>
        <w:rPr>
          <w:b/>
          <w:bCs/>
        </w:rPr>
      </w:pPr>
      <w:r w:rsidRPr="0020013C">
        <w:rPr>
          <w:b/>
          <w:bCs/>
        </w:rPr>
        <w:t>Disclaimer of Reliance Clauses</w:t>
      </w:r>
    </w:p>
    <w:p w14:paraId="1ECBA5E5" w14:textId="65C3AE40" w:rsidR="002460F6" w:rsidRDefault="007975E0" w:rsidP="007975E0">
      <w:pPr>
        <w:ind w:firstLine="720"/>
        <w:jc w:val="both"/>
      </w:pPr>
      <w:r>
        <w:t>Parties must also review the contract at issue to determine the extent to which a “no</w:t>
      </w:r>
      <w:r w:rsidR="002460F6">
        <w:t>-</w:t>
      </w:r>
      <w:r>
        <w:t xml:space="preserve">reliance” clause may negate </w:t>
      </w:r>
      <w:r w:rsidR="00976319">
        <w:t>a</w:t>
      </w:r>
      <w:r>
        <w:t xml:space="preserve"> fraudulent inducement claim. </w:t>
      </w:r>
      <w:r w:rsidR="002460F6">
        <w:t>As used in this paper, a “no-reliance clause” is a written contractual provision that expressly states the parties are not relying upon any other statements or understandings outside the four corners of the contract. Such clauses can act as companions, but are not identical, to “merger clauses,” which are contractual provisions stating the written terms of the contract cannot be changed by prior agreements or understandings.</w:t>
      </w:r>
      <w:r w:rsidR="00722E2F">
        <w:t xml:space="preserve"> Parties often combine these provisions into one,</w:t>
      </w:r>
      <w:r w:rsidR="00722E2F">
        <w:rPr>
          <w:rStyle w:val="FootnoteReference"/>
        </w:rPr>
        <w:footnoteReference w:id="162"/>
      </w:r>
      <w:r w:rsidR="00722E2F">
        <w:t xml:space="preserve"> but this paper refers to them separately because they have different effects.</w:t>
      </w:r>
    </w:p>
    <w:p w14:paraId="5A90422B" w14:textId="3511654D" w:rsidR="00FD2D1D" w:rsidRDefault="00976319" w:rsidP="007975E0">
      <w:pPr>
        <w:ind w:firstLine="720"/>
        <w:jc w:val="both"/>
      </w:pPr>
      <w:r>
        <w:t>As a general rule,</w:t>
      </w:r>
      <w:r w:rsidR="00991D75">
        <w:t xml:space="preserve"> “a clause that merely recites that the parties have not made any representations other than those contained within the written contract</w:t>
      </w:r>
      <w:r w:rsidR="002460F6">
        <w:t xml:space="preserve"> [</w:t>
      </w:r>
      <w:r w:rsidR="002460F6">
        <w:rPr>
          <w:i/>
          <w:iCs/>
        </w:rPr>
        <w:t>i.e.</w:t>
      </w:r>
      <w:r w:rsidR="00CE1125">
        <w:t>,</w:t>
      </w:r>
      <w:r w:rsidR="002460F6">
        <w:t xml:space="preserve"> a merger clause]</w:t>
      </w:r>
      <w:r w:rsidR="00991D75">
        <w:t xml:space="preserve"> is not effective to bar a fraudulent inducement claim.”</w:t>
      </w:r>
      <w:r w:rsidR="00991D75">
        <w:rPr>
          <w:rStyle w:val="FootnoteReference"/>
        </w:rPr>
        <w:footnoteReference w:id="163"/>
      </w:r>
      <w:r w:rsidR="00FD2D1D">
        <w:t xml:space="preserve"> However, “a clause that clearly and unequivocally express the party’s intent to disclaim reliance on the specific misrepresentations at issue </w:t>
      </w:r>
      <w:r w:rsidR="002460F6">
        <w:t>[</w:t>
      </w:r>
      <w:r w:rsidR="002460F6">
        <w:rPr>
          <w:i/>
          <w:iCs/>
        </w:rPr>
        <w:t>i.e.</w:t>
      </w:r>
      <w:r w:rsidR="00CE1125">
        <w:t>,</w:t>
      </w:r>
      <w:r w:rsidR="002460F6">
        <w:rPr>
          <w:i/>
          <w:iCs/>
        </w:rPr>
        <w:t xml:space="preserve"> </w:t>
      </w:r>
      <w:r w:rsidR="002460F6">
        <w:t xml:space="preserve">a no-reliance clause] </w:t>
      </w:r>
      <w:r w:rsidR="00FD2D1D">
        <w:t>can preclude a fraudulent-inducement claim.”</w:t>
      </w:r>
      <w:r w:rsidR="00FD2D1D">
        <w:rPr>
          <w:rStyle w:val="FootnoteReference"/>
        </w:rPr>
        <w:footnoteReference w:id="164"/>
      </w:r>
      <w:r w:rsidR="00FD2D1D">
        <w:t xml:space="preserve"> Whether such a disclaimer is effective in a given case requires examining whether:</w:t>
      </w:r>
    </w:p>
    <w:p w14:paraId="22CDEE5F" w14:textId="40C30B5D" w:rsidR="00FD2D1D" w:rsidRDefault="00FD2D1D" w:rsidP="00FD2D1D">
      <w:pPr>
        <w:pStyle w:val="ListParagraph"/>
        <w:numPr>
          <w:ilvl w:val="2"/>
          <w:numId w:val="15"/>
        </w:numPr>
        <w:ind w:left="1800" w:right="720"/>
        <w:jc w:val="both"/>
      </w:pPr>
      <w:r>
        <w:t xml:space="preserve">the terms of the contract were negotiated, rather than boilerplate, and during negotiations the parties specifically discussed the issue which has become the topic of the subsequent dispute; </w:t>
      </w:r>
    </w:p>
    <w:p w14:paraId="79BC4205" w14:textId="0E26576C" w:rsidR="00FD2D1D" w:rsidRDefault="00FD2D1D" w:rsidP="00FD2D1D">
      <w:pPr>
        <w:pStyle w:val="ListParagraph"/>
        <w:numPr>
          <w:ilvl w:val="2"/>
          <w:numId w:val="15"/>
        </w:numPr>
        <w:ind w:left="1800" w:right="720"/>
        <w:jc w:val="both"/>
      </w:pPr>
      <w:r>
        <w:t>the complaining party was represented by counsel;</w:t>
      </w:r>
    </w:p>
    <w:p w14:paraId="11F79BC0" w14:textId="1AAF009E" w:rsidR="00FD2D1D" w:rsidRDefault="00FD2D1D" w:rsidP="00FD2D1D">
      <w:pPr>
        <w:pStyle w:val="ListParagraph"/>
        <w:numPr>
          <w:ilvl w:val="2"/>
          <w:numId w:val="15"/>
        </w:numPr>
        <w:ind w:left="1800" w:right="720"/>
        <w:jc w:val="both"/>
      </w:pPr>
      <w:r>
        <w:t>the parties dealt with each other at arm’s length;</w:t>
      </w:r>
    </w:p>
    <w:p w14:paraId="075C3CE6" w14:textId="6062B25A" w:rsidR="00FD2D1D" w:rsidRDefault="00FD2D1D" w:rsidP="00FD2D1D">
      <w:pPr>
        <w:pStyle w:val="ListParagraph"/>
        <w:numPr>
          <w:ilvl w:val="2"/>
          <w:numId w:val="15"/>
        </w:numPr>
        <w:ind w:left="1800" w:right="720"/>
        <w:jc w:val="both"/>
      </w:pPr>
      <w:proofErr w:type="gramStart"/>
      <w:r>
        <w:t>the</w:t>
      </w:r>
      <w:proofErr w:type="gramEnd"/>
      <w:r>
        <w:t xml:space="preserve"> parties were knowledgeable in business matters; and</w:t>
      </w:r>
    </w:p>
    <w:p w14:paraId="3A0FE362" w14:textId="27CACC41" w:rsidR="00FD2D1D" w:rsidRDefault="00FD2D1D" w:rsidP="00FD2D1D">
      <w:pPr>
        <w:pStyle w:val="ListParagraph"/>
        <w:numPr>
          <w:ilvl w:val="2"/>
          <w:numId w:val="15"/>
        </w:numPr>
        <w:ind w:left="1800" w:right="720"/>
        <w:jc w:val="both"/>
      </w:pPr>
      <w:proofErr w:type="gramStart"/>
      <w:r>
        <w:lastRenderedPageBreak/>
        <w:t>the</w:t>
      </w:r>
      <w:proofErr w:type="gramEnd"/>
      <w:r>
        <w:t xml:space="preserve"> release language was clear.</w:t>
      </w:r>
      <w:r>
        <w:rPr>
          <w:rStyle w:val="FootnoteReference"/>
        </w:rPr>
        <w:footnoteReference w:id="165"/>
      </w:r>
    </w:p>
    <w:p w14:paraId="2CE3450F" w14:textId="16F18A0B" w:rsidR="00D21BB0" w:rsidRDefault="00D21BB0" w:rsidP="0020013C">
      <w:pPr>
        <w:ind w:firstLine="720"/>
        <w:jc w:val="both"/>
      </w:pPr>
      <w:r>
        <w:t xml:space="preserve">As these factors suggest, magic words are not enough to disclaim reliance as a matter of law. But that cuts both ways. For example, in </w:t>
      </w:r>
      <w:r>
        <w:rPr>
          <w:i/>
          <w:iCs/>
        </w:rPr>
        <w:t>McGinn</w:t>
      </w:r>
      <w:r>
        <w:t>, the parties’ contract contained the following clause:</w:t>
      </w:r>
    </w:p>
    <w:p w14:paraId="40A0847C" w14:textId="2C2FB452" w:rsidR="00CE1125" w:rsidRDefault="00D21BB0" w:rsidP="00D21BB0">
      <w:pPr>
        <w:ind w:left="720" w:right="720"/>
        <w:jc w:val="both"/>
      </w:pPr>
      <w:r>
        <w:t>This writing embodies the entire agreement between the parties and supersedes all prior agreements and understandings, if any, relating to the Property, and may be amended or supplemented only by an instrument in writing executed by the party against whom enforcement is sought.</w:t>
      </w:r>
      <w:r>
        <w:rPr>
          <w:rStyle w:val="FootnoteReference"/>
        </w:rPr>
        <w:footnoteReference w:id="166"/>
      </w:r>
    </w:p>
    <w:p w14:paraId="0777337C" w14:textId="77877D1D" w:rsidR="00A053CE" w:rsidRDefault="00D21BB0" w:rsidP="0020013C">
      <w:pPr>
        <w:ind w:firstLine="720"/>
        <w:jc w:val="both"/>
      </w:pPr>
      <w:r>
        <w:t>At first glance, this appears to be a standard merger clause that would not generally pass muster to bar a fraudulent inducement claim.</w:t>
      </w:r>
      <w:r w:rsidR="00184352">
        <w:t xml:space="preserve"> </w:t>
      </w:r>
      <w:r w:rsidR="00A053CE">
        <w:t>Th</w:t>
      </w:r>
      <w:r w:rsidR="00184352">
        <w:t xml:space="preserve">e court </w:t>
      </w:r>
      <w:r w:rsidR="00A053CE">
        <w:t>disagreed</w:t>
      </w:r>
      <w:r w:rsidR="00184352">
        <w:t xml:space="preserve">. Although the court acknowledged “the merger clause in this case is not so specific” as other cases, the term “the Property” was specific enough to cover </w:t>
      </w:r>
      <w:r w:rsidR="0077142C">
        <w:t>the disputed issue in question.</w:t>
      </w:r>
      <w:r w:rsidR="0077142C">
        <w:rPr>
          <w:rStyle w:val="FootnoteReference"/>
        </w:rPr>
        <w:footnoteReference w:id="167"/>
      </w:r>
      <w:r w:rsidR="00022F4A">
        <w:t xml:space="preserve"> As a result, the court affirmed summary judgment on the plaintiff’s fraudulent inducement claim.</w:t>
      </w:r>
      <w:r w:rsidR="0077142C">
        <w:t xml:space="preserve"> </w:t>
      </w:r>
    </w:p>
    <w:p w14:paraId="6C85D68E" w14:textId="4166DE8C" w:rsidR="00D21BB0" w:rsidRPr="007822CC" w:rsidRDefault="007822CC" w:rsidP="00A053CE">
      <w:pPr>
        <w:ind w:firstLine="720"/>
        <w:jc w:val="both"/>
      </w:pPr>
      <w:r>
        <w:t xml:space="preserve">That result seems at least somewhat in tension with the Texas Supreme Court’s analysis in </w:t>
      </w:r>
      <w:r>
        <w:rPr>
          <w:i/>
          <w:iCs/>
        </w:rPr>
        <w:t>Italian Cowboy</w:t>
      </w:r>
      <w:r>
        <w:t xml:space="preserve">, which held </w:t>
      </w:r>
      <w:r w:rsidR="00022F4A">
        <w:t>a clause stating</w:t>
      </w:r>
      <w:r>
        <w:t xml:space="preserve"> “neither Landlord, nor Landlord’s agents, employees or contractors have made any representations or promises . . . except as expressly set forth herein” was not sufficient</w:t>
      </w:r>
      <w:r w:rsidR="00A053CE">
        <w:t>ly specific</w:t>
      </w:r>
      <w:r>
        <w:t xml:space="preserve"> to bar a fraudulent inducement claim.</w:t>
      </w:r>
      <w:r>
        <w:rPr>
          <w:rStyle w:val="FootnoteReference"/>
        </w:rPr>
        <w:footnoteReference w:id="168"/>
      </w:r>
      <w:r w:rsidR="00A053CE">
        <w:t xml:space="preserve"> </w:t>
      </w:r>
      <w:r w:rsidR="00022F4A">
        <w:t xml:space="preserve">The clause at issue in </w:t>
      </w:r>
      <w:r w:rsidR="00022F4A">
        <w:rPr>
          <w:i/>
          <w:iCs/>
        </w:rPr>
        <w:t>McGinn</w:t>
      </w:r>
      <w:r w:rsidR="00022F4A">
        <w:t xml:space="preserve"> also varies significantly from two disclaimers</w:t>
      </w:r>
      <w:r w:rsidR="00A053CE">
        <w:t xml:space="preserve"> the Supreme Court “ha[d] no trouble” enforcing</w:t>
      </w:r>
      <w:r w:rsidR="00022F4A">
        <w:t xml:space="preserve"> in </w:t>
      </w:r>
      <w:r w:rsidR="00022F4A">
        <w:rPr>
          <w:i/>
          <w:iCs/>
        </w:rPr>
        <w:t>IBM</w:t>
      </w:r>
      <w:r w:rsidR="00022F4A">
        <w:t xml:space="preserve">. Those clauses stated </w:t>
      </w:r>
      <w:r w:rsidR="00A053CE">
        <w:t xml:space="preserve">that </w:t>
      </w:r>
      <w:r w:rsidR="00022F4A">
        <w:t>the plaintiff</w:t>
      </w:r>
      <w:r w:rsidR="00A053CE">
        <w:t xml:space="preserve"> was “not relying upon any representation made by or on behalf of [the defendant] that is not specified in the Agreement . . .” and that “neither party [was] relying upon any representation that [was] not specified” therein.</w:t>
      </w:r>
      <w:r w:rsidR="00A053CE">
        <w:rPr>
          <w:rStyle w:val="FootnoteReference"/>
        </w:rPr>
        <w:footnoteReference w:id="169"/>
      </w:r>
      <w:r w:rsidR="00A053CE">
        <w:t xml:space="preserve"> </w:t>
      </w:r>
      <w:r w:rsidR="00022F4A">
        <w:t xml:space="preserve">Because of these two Supreme Court cases, parties should not assume that the level of generality in </w:t>
      </w:r>
      <w:r w:rsidR="00022F4A">
        <w:rPr>
          <w:i/>
          <w:iCs/>
        </w:rPr>
        <w:t xml:space="preserve">McGinn </w:t>
      </w:r>
      <w:r w:rsidR="00022F4A">
        <w:t>will win the day. C</w:t>
      </w:r>
      <w:r w:rsidR="00A053CE">
        <w:t>lauses with more specificity are more likely to foreclose claims of justifiable reliance as a matter of law.</w:t>
      </w:r>
    </w:p>
    <w:p w14:paraId="450FE274" w14:textId="405965BB" w:rsidR="007C5A2D" w:rsidRPr="0020013C" w:rsidRDefault="007C5A2D" w:rsidP="0020013C">
      <w:pPr>
        <w:pStyle w:val="ListParagraph"/>
        <w:numPr>
          <w:ilvl w:val="0"/>
          <w:numId w:val="14"/>
        </w:numPr>
        <w:ind w:left="1440" w:firstLine="0"/>
        <w:jc w:val="both"/>
        <w:rPr>
          <w:b/>
          <w:bCs/>
        </w:rPr>
      </w:pPr>
      <w:r w:rsidRPr="0020013C">
        <w:rPr>
          <w:b/>
          <w:bCs/>
        </w:rPr>
        <w:t xml:space="preserve">Damages </w:t>
      </w:r>
    </w:p>
    <w:p w14:paraId="259F4968" w14:textId="571B5409" w:rsidR="0095320C" w:rsidRDefault="00E509A0" w:rsidP="00E509A0">
      <w:pPr>
        <w:ind w:left="-90" w:firstLine="810"/>
        <w:jc w:val="both"/>
      </w:pPr>
      <w:r>
        <w:t>A viable fraudulent inducement claim presents a variety of damage options, most of which the plaintiff has the right to elect at their discretion.</w:t>
      </w:r>
      <w:r w:rsidR="00393020">
        <w:rPr>
          <w:rStyle w:val="FootnoteReference"/>
        </w:rPr>
        <w:footnoteReference w:id="170"/>
      </w:r>
      <w:r>
        <w:t xml:space="preserve"> A party fraudulently induced into entering a contract has the option of (1) seeking monetary damages under the contract; or (2) rescinding the contract in lieu of damages. If seeking contract damages, a plaintiff can recover (1) out-of-pocket damages; or (2) benefit-of-the-bargain damages.</w:t>
      </w:r>
      <w:r>
        <w:rPr>
          <w:rStyle w:val="FootnoteReference"/>
        </w:rPr>
        <w:footnoteReference w:id="171"/>
      </w:r>
      <w:r>
        <w:t xml:space="preserve"> </w:t>
      </w:r>
      <w:r w:rsidR="000E3BAA">
        <w:t xml:space="preserve">These options are also exclusive of exemplary damages available at </w:t>
      </w:r>
      <w:r w:rsidR="000E3BAA">
        <w:lastRenderedPageBreak/>
        <w:t>law.</w:t>
      </w:r>
      <w:r w:rsidR="000E3BAA">
        <w:rPr>
          <w:rStyle w:val="FootnoteReference"/>
        </w:rPr>
        <w:footnoteReference w:id="172"/>
      </w:r>
      <w:r w:rsidR="000E3BAA">
        <w:t xml:space="preserve"> Each type of damage requires different methodology and, as a result, different proof. </w:t>
      </w:r>
      <w:r w:rsidR="00CF7A4B">
        <w:t>What’s more, failure to plead the right damages theory can be fatal to a fraudulent inducement claim.</w:t>
      </w:r>
      <w:r w:rsidR="00CF7A4B">
        <w:rPr>
          <w:rStyle w:val="FootnoteReference"/>
        </w:rPr>
        <w:footnoteReference w:id="173"/>
      </w:r>
      <w:r w:rsidR="00022F4A">
        <w:t xml:space="preserve"> Plaintiffs should consider which damages they want early on so they can properly plead and prove them.</w:t>
      </w:r>
    </w:p>
    <w:p w14:paraId="2059505C" w14:textId="12295719" w:rsidR="00EF3A22" w:rsidRDefault="000E3BAA" w:rsidP="00EF3A22">
      <w:pPr>
        <w:ind w:left="-90" w:firstLine="810"/>
        <w:jc w:val="both"/>
      </w:pPr>
      <w:r>
        <w:t>This section examines each remedy available and raises considerations to consider when pleading, presenting, or trying a fraudulent inducement claim.</w:t>
      </w:r>
    </w:p>
    <w:p w14:paraId="6EAF87A4" w14:textId="4CB36139" w:rsidR="000F5DE9" w:rsidRPr="0020013C" w:rsidRDefault="000F5DE9" w:rsidP="000F5DE9">
      <w:pPr>
        <w:pStyle w:val="ListParagraph"/>
        <w:numPr>
          <w:ilvl w:val="0"/>
          <w:numId w:val="17"/>
        </w:numPr>
        <w:ind w:left="2520"/>
        <w:jc w:val="both"/>
        <w:rPr>
          <w:b/>
          <w:bCs/>
        </w:rPr>
      </w:pPr>
      <w:r w:rsidRPr="0020013C">
        <w:rPr>
          <w:b/>
          <w:bCs/>
        </w:rPr>
        <w:t>Contract Damages – Out-of-Pocket</w:t>
      </w:r>
    </w:p>
    <w:p w14:paraId="15AC4DBA" w14:textId="0FC4D81E" w:rsidR="00CF7A4B" w:rsidRPr="009E7844" w:rsidRDefault="00C561F0" w:rsidP="00CF7A4B">
      <w:pPr>
        <w:ind w:firstLine="720"/>
        <w:jc w:val="both"/>
      </w:pPr>
      <w:r>
        <w:t xml:space="preserve">The out-of-pocket measure “allows the injured party to recover the actual injury suffered” which is measured by “the difference between the value of that which he has </w:t>
      </w:r>
      <w:r w:rsidRPr="00C561F0">
        <w:t>parted with</w:t>
      </w:r>
      <w:r>
        <w:t>, and the value of that which he has received.”</w:t>
      </w:r>
      <w:r>
        <w:rPr>
          <w:rStyle w:val="FootnoteReference"/>
        </w:rPr>
        <w:footnoteReference w:id="174"/>
      </w:r>
      <w:r w:rsidR="00393020">
        <w:t xml:space="preserve"> </w:t>
      </w:r>
      <w:r w:rsidR="00CF7A4B">
        <w:t>Unlike benefit-of-the-bargain damages, out-of-pocket damages “derive from a restitutionary theory.”</w:t>
      </w:r>
      <w:r w:rsidR="00CF7A4B">
        <w:rPr>
          <w:rStyle w:val="FootnoteReference"/>
        </w:rPr>
        <w:footnoteReference w:id="175"/>
      </w:r>
      <w:r w:rsidR="00CF7A4B">
        <w:t xml:space="preserve"> Proving such</w:t>
      </w:r>
      <w:r w:rsidR="00393020">
        <w:t xml:space="preserve"> damages measure means sticking to hard facts: what did the plaintiff provide</w:t>
      </w:r>
      <w:r w:rsidR="006111C7">
        <w:t xml:space="preserve"> </w:t>
      </w:r>
      <w:r w:rsidR="00393020">
        <w:t>and what has the defendant been paid?</w:t>
      </w:r>
      <w:r w:rsidR="00393020">
        <w:rPr>
          <w:rStyle w:val="FootnoteReference"/>
        </w:rPr>
        <w:footnoteReference w:id="176"/>
      </w:r>
      <w:r w:rsidR="00393020">
        <w:t xml:space="preserve"> </w:t>
      </w:r>
      <w:r w:rsidR="00080BBC">
        <w:t>In one more recent example</w:t>
      </w:r>
      <w:r w:rsidR="00C349E6">
        <w:t>,</w:t>
      </w:r>
      <w:r w:rsidR="00080BBC">
        <w:t xml:space="preserve"> a court of appeals held that copies of checks and wire transfers showing amounts paid constituted “at least some evidence” to establish out-of-pocket damages in a manner sufficient to support the trial court’s award in the plaintiff’s favor.</w:t>
      </w:r>
      <w:r w:rsidR="00080BBC">
        <w:rPr>
          <w:rStyle w:val="FootnoteReference"/>
        </w:rPr>
        <w:footnoteReference w:id="177"/>
      </w:r>
      <w:r w:rsidR="00080BBC">
        <w:t xml:space="preserve"> In construction cases, plaintiffs should</w:t>
      </w:r>
      <w:r w:rsidR="00C349E6">
        <w:t xml:space="preserve"> also</w:t>
      </w:r>
      <w:r w:rsidR="00080BBC">
        <w:t xml:space="preserve"> consider expert testimony to evaluate and opine upon the value of work performed to establish out-of-pocket damages.</w:t>
      </w:r>
      <w:r w:rsidR="00DB3DF5">
        <w:t xml:space="preserve"> Although Texas</w:t>
      </w:r>
      <w:r w:rsidR="00EE3A21">
        <w:t xml:space="preserve"> appellate</w:t>
      </w:r>
      <w:r w:rsidR="00DB3DF5">
        <w:t xml:space="preserve"> courts hav</w:t>
      </w:r>
      <w:r w:rsidR="009E7844">
        <w:t xml:space="preserve">e yet to apply the reasonable and necessary requirements of </w:t>
      </w:r>
      <w:r w:rsidR="009E7844">
        <w:rPr>
          <w:i/>
          <w:iCs/>
        </w:rPr>
        <w:t xml:space="preserve">McGinty </w:t>
      </w:r>
      <w:r w:rsidR="009E7844">
        <w:t xml:space="preserve">and </w:t>
      </w:r>
      <w:r w:rsidR="009E7844">
        <w:rPr>
          <w:i/>
          <w:iCs/>
        </w:rPr>
        <w:t>Mustang Pipeline</w:t>
      </w:r>
      <w:r w:rsidR="009E7844">
        <w:t xml:space="preserve"> to fraud damages, logic suggests that standard will be present in any evaluation of a plaintiff’s damage model.</w:t>
      </w:r>
    </w:p>
    <w:p w14:paraId="234D7F64" w14:textId="2EDDCA24" w:rsidR="000F5DE9" w:rsidRPr="0020013C" w:rsidRDefault="000F5DE9" w:rsidP="00CF7A4B">
      <w:pPr>
        <w:pStyle w:val="ListParagraph"/>
        <w:numPr>
          <w:ilvl w:val="0"/>
          <w:numId w:val="17"/>
        </w:numPr>
        <w:ind w:left="2520"/>
        <w:jc w:val="both"/>
        <w:rPr>
          <w:b/>
          <w:bCs/>
        </w:rPr>
      </w:pPr>
      <w:r w:rsidRPr="0020013C">
        <w:rPr>
          <w:b/>
          <w:bCs/>
        </w:rPr>
        <w:t>Contract Damages – Benefit-of-the-Bargain</w:t>
      </w:r>
    </w:p>
    <w:p w14:paraId="3266874D" w14:textId="3EA95CBA" w:rsidR="00F5287B" w:rsidRDefault="00F5287B" w:rsidP="00F5287B">
      <w:pPr>
        <w:ind w:firstLine="720"/>
        <w:jc w:val="both"/>
      </w:pPr>
      <w:r>
        <w:t>Benefit-of-the-bargain damages are the difference between the value as represented and the value received.</w:t>
      </w:r>
      <w:r>
        <w:rPr>
          <w:rStyle w:val="FootnoteReference"/>
        </w:rPr>
        <w:footnoteReference w:id="178"/>
      </w:r>
      <w:r>
        <w:t xml:space="preserve"> Th</w:t>
      </w:r>
      <w:r w:rsidR="006111C7">
        <w:t>is</w:t>
      </w:r>
      <w:r>
        <w:t xml:space="preserve"> damages measure allows a plaintiff to recover profits lost on the bargain “if such damages are proved with reasonable certainty.”</w:t>
      </w:r>
      <w:r>
        <w:rPr>
          <w:rStyle w:val="FootnoteReference"/>
        </w:rPr>
        <w:footnoteReference w:id="179"/>
      </w:r>
      <w:r>
        <w:t xml:space="preserve"> In construction contract disputes, benefit-of-the-bargain damages require special consideration. A contractor fraudulently induced into entering a contract may believe they would have </w:t>
      </w:r>
      <w:r w:rsidR="009E7844">
        <w:t xml:space="preserve">submitted </w:t>
      </w:r>
      <w:r>
        <w:t xml:space="preserve">a </w:t>
      </w:r>
      <w:r w:rsidR="009E7844">
        <w:t xml:space="preserve">higher </w:t>
      </w:r>
      <w:r>
        <w:t xml:space="preserve">bid, or agreed to other commercial terms, </w:t>
      </w:r>
      <w:r w:rsidR="00F876E9">
        <w:t xml:space="preserve">had they known of the fraud at the time of contracting. Texas courts, however, have rejected such </w:t>
      </w:r>
      <w:r w:rsidR="00F876E9">
        <w:lastRenderedPageBreak/>
        <w:t>damage models for a straightforward reason: a plaintiff cannot prove that the defendant would have agreed to a different hypothetical contract.</w:t>
      </w:r>
      <w:r w:rsidR="00F876E9">
        <w:rPr>
          <w:rStyle w:val="FootnoteReference"/>
        </w:rPr>
        <w:footnoteReference w:id="180"/>
      </w:r>
      <w:r w:rsidR="00F876E9">
        <w:t xml:space="preserve"> </w:t>
      </w:r>
    </w:p>
    <w:p w14:paraId="63E9977A" w14:textId="1A95E61D" w:rsidR="00F876E9" w:rsidRDefault="00F876E9" w:rsidP="00F5287B">
      <w:pPr>
        <w:ind w:firstLine="720"/>
        <w:jc w:val="both"/>
      </w:pPr>
      <w:r>
        <w:rPr>
          <w:i/>
          <w:iCs/>
        </w:rPr>
        <w:t xml:space="preserve">Formosa Plastics </w:t>
      </w:r>
      <w:r>
        <w:t xml:space="preserve">provides the best illustration of how the Texas Supreme Court would calculate benefit-of-the-bargain damages. In </w:t>
      </w:r>
      <w:r>
        <w:rPr>
          <w:i/>
          <w:iCs/>
        </w:rPr>
        <w:t>Formosa</w:t>
      </w:r>
      <w:r>
        <w:t>, the plaintiff (Presidio) submitted a $600,000 bid, which became the parties’ contract price.</w:t>
      </w:r>
      <w:r>
        <w:rPr>
          <w:rStyle w:val="FootnoteReference"/>
        </w:rPr>
        <w:footnoteReference w:id="181"/>
      </w:r>
      <w:r>
        <w:t xml:space="preserve"> </w:t>
      </w:r>
      <w:r w:rsidR="0090691B">
        <w:t xml:space="preserve">Presidio testified that had it known of Formosa’s misrepresentations before </w:t>
      </w:r>
      <w:proofErr w:type="gramStart"/>
      <w:r w:rsidR="0090691B">
        <w:t>entering into</w:t>
      </w:r>
      <w:proofErr w:type="gramEnd"/>
      <w:r w:rsidR="0090691B">
        <w:t xml:space="preserve"> the contract, it would have increased its bid to $1,300,000. Presidio therefore sought $700,000 in damages.</w:t>
      </w:r>
      <w:r w:rsidR="0090691B">
        <w:rPr>
          <w:rStyle w:val="FootnoteReference"/>
        </w:rPr>
        <w:footnoteReference w:id="182"/>
      </w:r>
      <w:r w:rsidR="0090691B">
        <w:t xml:space="preserve"> </w:t>
      </w:r>
      <w:r w:rsidR="006248C2">
        <w:t>The</w:t>
      </w:r>
      <w:r w:rsidR="0090691B">
        <w:t xml:space="preserve"> Supreme Court rejected Presidio’s damage model because Presidios’ testimony as to what it would have bid “simply d[id] not establish the benefit of any bargain made with Formosa.”</w:t>
      </w:r>
      <w:r w:rsidR="0090691B">
        <w:rPr>
          <w:rStyle w:val="FootnoteReference"/>
        </w:rPr>
        <w:footnoteReference w:id="183"/>
      </w:r>
      <w:r w:rsidR="0090691B">
        <w:t xml:space="preserve"> Instead, the court observed</w:t>
      </w:r>
      <w:r w:rsidR="00F00312">
        <w:t xml:space="preserve"> that </w:t>
      </w:r>
      <w:r w:rsidR="0090691B">
        <w:t>Presidio’s</w:t>
      </w:r>
      <w:r w:rsidR="00F00312">
        <w:t xml:space="preserve"> bid was based on an expected cost of $370,000, meaning it expected a profit of $230,000.</w:t>
      </w:r>
      <w:r w:rsidR="00F00312">
        <w:rPr>
          <w:rStyle w:val="FootnoteReference"/>
        </w:rPr>
        <w:footnoteReference w:id="184"/>
      </w:r>
      <w:r w:rsidR="0090691B">
        <w:t xml:space="preserve"> Presidio ultimately spent $831,000 on the project but was only paid the $600,000 contract price</w:t>
      </w:r>
      <w:r w:rsidR="00D45EB7">
        <w:t xml:space="preserve"> (a loss of $231,000)</w:t>
      </w:r>
      <w:r w:rsidR="0090691B">
        <w:t>.</w:t>
      </w:r>
      <w:r w:rsidR="0090691B">
        <w:rPr>
          <w:rStyle w:val="FootnoteReference"/>
        </w:rPr>
        <w:footnoteReference w:id="185"/>
      </w:r>
      <w:r w:rsidR="0090691B">
        <w:t xml:space="preserve"> Accordingly, the Supreme Court noted that the </w:t>
      </w:r>
      <w:r w:rsidR="00D45EB7">
        <w:t>based on the evidence, Presidio’s benefit-of-the-bargain damages should be $461,000—the amount required to give Presidio the $230,000 profit it expected at the time of contract.</w:t>
      </w:r>
      <w:r w:rsidR="00D45EB7">
        <w:rPr>
          <w:rStyle w:val="FootnoteReference"/>
        </w:rPr>
        <w:footnoteReference w:id="186"/>
      </w:r>
    </w:p>
    <w:p w14:paraId="123F329C" w14:textId="3F950566" w:rsidR="00D45EB7" w:rsidRDefault="00D45EB7" w:rsidP="00F5287B">
      <w:pPr>
        <w:ind w:firstLine="720"/>
        <w:jc w:val="both"/>
      </w:pPr>
      <w:r>
        <w:t xml:space="preserve">Construction lawyers may look at the Supreme Court’s benefit-of-the-bargain analysis in </w:t>
      </w:r>
      <w:r>
        <w:rPr>
          <w:i/>
          <w:iCs/>
        </w:rPr>
        <w:t>Formosa</w:t>
      </w:r>
      <w:r>
        <w:t xml:space="preserve"> and recognize it as a total cost claim. After all, the court’s calculation assumes that every increase in cost was attributable to Formosa’s fraudulent conduct, and made no allowance for Presidio’s own inefficiencies, errors, or cost overruns. In fairness, the court did not make a final damages determination in its opinion; it </w:t>
      </w:r>
      <w:proofErr w:type="gramStart"/>
      <w:r>
        <w:t>remanded</w:t>
      </w:r>
      <w:proofErr w:type="gramEnd"/>
      <w:r>
        <w:t xml:space="preserve"> the case for a new trial.</w:t>
      </w:r>
      <w:r>
        <w:rPr>
          <w:rStyle w:val="FootnoteReference"/>
        </w:rPr>
        <w:footnoteReference w:id="187"/>
      </w:r>
      <w:r>
        <w:t xml:space="preserve"> </w:t>
      </w:r>
      <w:r w:rsidR="00646DE4">
        <w:t xml:space="preserve">It instead seemed to be doing some back-of-the-napkin math to demonstrate why the current damages </w:t>
      </w:r>
      <w:proofErr w:type="gramStart"/>
      <w:r w:rsidR="00646DE4">
        <w:t>figure before it</w:t>
      </w:r>
      <w:proofErr w:type="gramEnd"/>
      <w:r w:rsidR="00646DE4">
        <w:t xml:space="preserve"> was wrong. Parties should therefore be careful reading too much into </w:t>
      </w:r>
      <w:r w:rsidR="00646DE4">
        <w:rPr>
          <w:i/>
          <w:iCs/>
        </w:rPr>
        <w:t>Formosa</w:t>
      </w:r>
      <w:r w:rsidR="00646DE4">
        <w:t xml:space="preserve"> and assuming it allows total cost claims in all fraud cases. </w:t>
      </w:r>
    </w:p>
    <w:p w14:paraId="4C81913C" w14:textId="0E82540E" w:rsidR="00646DE4" w:rsidRPr="0020013C" w:rsidRDefault="00646DE4" w:rsidP="00646DE4">
      <w:pPr>
        <w:pStyle w:val="ListParagraph"/>
        <w:numPr>
          <w:ilvl w:val="0"/>
          <w:numId w:val="17"/>
        </w:numPr>
        <w:ind w:left="2520"/>
        <w:jc w:val="both"/>
        <w:rPr>
          <w:b/>
          <w:bCs/>
        </w:rPr>
      </w:pPr>
      <w:r w:rsidRPr="0020013C">
        <w:rPr>
          <w:b/>
          <w:bCs/>
        </w:rPr>
        <w:t>Exemplary Damages</w:t>
      </w:r>
    </w:p>
    <w:p w14:paraId="528E12E8" w14:textId="37CA352D" w:rsidR="00537480" w:rsidRDefault="00537480" w:rsidP="00537480">
      <w:pPr>
        <w:ind w:firstLine="720"/>
        <w:jc w:val="both"/>
      </w:pPr>
      <w:r>
        <w:t>Chapter 41 of the Texas Civil Practice &amp; Remedies code authorizes exemplary damages if a claimant proves by clear and convincing evidence that the harm resulted from fraud, malice, or gross negligence.</w:t>
      </w:r>
      <w:r>
        <w:rPr>
          <w:rStyle w:val="FootnoteReference"/>
        </w:rPr>
        <w:footnoteReference w:id="188"/>
      </w:r>
      <w:r>
        <w:t xml:space="preserve"> Courts have approved the application of Chapter 41 to fraudulent inducement claims.</w:t>
      </w:r>
      <w:r>
        <w:rPr>
          <w:rStyle w:val="FootnoteReference"/>
        </w:rPr>
        <w:footnoteReference w:id="189"/>
      </w:r>
      <w:r w:rsidR="0057642F">
        <w:t xml:space="preserve"> </w:t>
      </w:r>
      <w:r w:rsidR="00445039">
        <w:t xml:space="preserve">However, the Fourteenth Amendment prohibits the imposition of “grossly excessive or arbitrary </w:t>
      </w:r>
      <w:r w:rsidR="00445039">
        <w:lastRenderedPageBreak/>
        <w:t>punishments on a tortfeasor</w:t>
      </w:r>
      <w:r w:rsidR="00EE3A21">
        <w:t>.</w:t>
      </w:r>
      <w:r w:rsidR="00445039">
        <w:rPr>
          <w:rStyle w:val="FootnoteReference"/>
        </w:rPr>
        <w:footnoteReference w:id="190"/>
      </w:r>
      <w:r w:rsidR="00445039">
        <w:t xml:space="preserve"> </w:t>
      </w:r>
      <w:r w:rsidR="00EE3A21">
        <w:t xml:space="preserve">Courts </w:t>
      </w:r>
      <w:r w:rsidR="00445039">
        <w:t>generally consider three “guideposts” when evaluating th</w:t>
      </w:r>
      <w:r w:rsidR="00CA0CB6">
        <w:t>e constitutionality of exemplary damages: (1) the nature of the defendant’s conduct; (2) the ratio between exemplary and compensatory damages; and (3) the size of civil penalties in comparable cases.</w:t>
      </w:r>
      <w:r w:rsidR="00CA0CB6">
        <w:rPr>
          <w:rStyle w:val="FootnoteReference"/>
        </w:rPr>
        <w:footnoteReference w:id="191"/>
      </w:r>
      <w:r w:rsidR="00AA13F0">
        <w:t xml:space="preserve"> The nature of the defendant’s conduct requires examining five more factors, which include whether (1) the harm caused was physical as opposed to economic; (2) the tortious conduct </w:t>
      </w:r>
      <w:r w:rsidR="00163E1B">
        <w:t xml:space="preserve">evidenced </w:t>
      </w:r>
      <w:r w:rsidR="00AA13F0">
        <w:t xml:space="preserve">an indifference to, or reckless disregard of, the health or safety of others; (3) the target of the conduct had financial vulnerability; (4) the conduct involved repeated actions or was an isolated incident; and (5) the harm was the result of intentional malice, trickery, or deceit, or mere accident. Suffice </w:t>
      </w:r>
      <w:r w:rsidR="0057642F">
        <w:t>to say</w:t>
      </w:r>
      <w:r w:rsidR="00AA13F0">
        <w:t>,</w:t>
      </w:r>
      <w:r w:rsidR="0057642F">
        <w:t xml:space="preserve"> such awards can vary wildly depending on the facts of each case</w:t>
      </w:r>
      <w:r w:rsidR="00715CE2">
        <w:t>.</w:t>
      </w:r>
      <w:r w:rsidR="00715CE2">
        <w:rPr>
          <w:rStyle w:val="FootnoteReference"/>
        </w:rPr>
        <w:footnoteReference w:id="192"/>
      </w:r>
      <w:r w:rsidR="00715CE2">
        <w:t xml:space="preserve"> However, parties should not forget about exemplary </w:t>
      </w:r>
      <w:proofErr w:type="gramStart"/>
      <w:r w:rsidR="00715CE2">
        <w:t>damages</w:t>
      </w:r>
      <w:proofErr w:type="gramEnd"/>
      <w:r w:rsidR="00163E1B">
        <w:t xml:space="preserve"> </w:t>
      </w:r>
      <w:r w:rsidR="00AA13F0">
        <w:t>and their attendant factors</w:t>
      </w:r>
      <w:r w:rsidR="00163E1B">
        <w:t xml:space="preserve"> </w:t>
      </w:r>
      <w:r w:rsidR="00715CE2">
        <w:t>when drafting their pleadings, preparing for mediation, or preparing their evidence for trial.</w:t>
      </w:r>
    </w:p>
    <w:p w14:paraId="7C16CC91" w14:textId="01A6D908" w:rsidR="009801CC" w:rsidRPr="00715CE2" w:rsidRDefault="009801CC" w:rsidP="00537480">
      <w:pPr>
        <w:ind w:firstLine="720"/>
        <w:jc w:val="both"/>
      </w:pPr>
    </w:p>
    <w:sectPr w:rsidR="009801CC" w:rsidRPr="00715CE2" w:rsidSect="006D6E0E">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70D4E" w14:textId="77777777" w:rsidR="00592653" w:rsidRDefault="00592653" w:rsidP="00A11CC4">
      <w:pPr>
        <w:spacing w:after="0" w:line="240" w:lineRule="auto"/>
      </w:pPr>
      <w:r>
        <w:separator/>
      </w:r>
    </w:p>
  </w:endnote>
  <w:endnote w:type="continuationSeparator" w:id="0">
    <w:p w14:paraId="4CBA9D64" w14:textId="77777777" w:rsidR="00592653" w:rsidRDefault="00592653" w:rsidP="00A1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D0CA" w14:textId="18B39E6C" w:rsidR="00432E87" w:rsidRDefault="00432E87" w:rsidP="00432E87">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9A91" w14:textId="77777777" w:rsidR="00592653" w:rsidRDefault="00592653" w:rsidP="00A11CC4">
      <w:pPr>
        <w:spacing w:after="0" w:line="240" w:lineRule="auto"/>
      </w:pPr>
      <w:r>
        <w:separator/>
      </w:r>
    </w:p>
  </w:footnote>
  <w:footnote w:type="continuationSeparator" w:id="0">
    <w:p w14:paraId="138029AE" w14:textId="77777777" w:rsidR="00592653" w:rsidRDefault="00592653" w:rsidP="00A11CC4">
      <w:pPr>
        <w:spacing w:after="0" w:line="240" w:lineRule="auto"/>
      </w:pPr>
      <w:r>
        <w:continuationSeparator/>
      </w:r>
    </w:p>
  </w:footnote>
  <w:footnote w:id="1">
    <w:p w14:paraId="7FB468F5" w14:textId="3620ADA7" w:rsidR="004A03AD" w:rsidRPr="002E694A" w:rsidRDefault="004A03AD" w:rsidP="002E694A">
      <w:pPr>
        <w:pStyle w:val="FootnoteText"/>
        <w:jc w:val="both"/>
        <w:rPr>
          <w:highlight w:val="yellow"/>
        </w:rPr>
      </w:pPr>
      <w:r>
        <w:rPr>
          <w:rStyle w:val="FootnoteReference"/>
        </w:rPr>
        <w:footnoteRef/>
      </w:r>
      <w:r>
        <w:t xml:space="preserve"> </w:t>
      </w:r>
      <w:r w:rsidR="002E694A" w:rsidRPr="002E694A">
        <w:t>I owe an immeasurable debt of gratitude to my partners at Allensworth, each of whom enthusiastically supported this effort. Amy Emerson, Will Allensworth, and Matt Ryan provided invaluable mentorship, as they always do. Several Allensworth associates also contributed to this paper, including Michael Figler, Emilia Garanzuay, and Jackie Waneck. Catherine Saba, whose name is now a fixture in Allensworth’s papers at this conference, rightly earns recognition again for her outstanding editing and substantive contributions. Finally, thank you to Brian Kay, who for weeks had to listen to me (1) brainstorm out loud; and (2) chafe at his very helpful suggestions, many of which I have since incorporated (please do not tell him).</w:t>
      </w:r>
    </w:p>
  </w:footnote>
  <w:footnote w:id="2">
    <w:p w14:paraId="6609C3F5" w14:textId="6C79925B" w:rsidR="000A7AD2" w:rsidRPr="000A7AD2" w:rsidRDefault="000A7AD2" w:rsidP="00990810">
      <w:pPr>
        <w:pStyle w:val="FootnoteText"/>
        <w:jc w:val="both"/>
      </w:pPr>
      <w:r>
        <w:rPr>
          <w:rStyle w:val="FootnoteReference"/>
        </w:rPr>
        <w:footnoteRef/>
      </w:r>
      <w:r>
        <w:t xml:space="preserve"> </w:t>
      </w:r>
      <w:r>
        <w:rPr>
          <w:i/>
          <w:iCs/>
        </w:rPr>
        <w:t>Collins v. Aikman Floorcoverings, Inc. v. Thomason</w:t>
      </w:r>
      <w:r>
        <w:t>, 256 S.W.3d 402, 407–08 (Tex. App.—San Antonio 2008, pet. denied)</w:t>
      </w:r>
      <w:r w:rsidR="00600CCE">
        <w:t xml:space="preserve"> (citing </w:t>
      </w:r>
      <w:r w:rsidR="00600CCE">
        <w:rPr>
          <w:i/>
          <w:iCs/>
        </w:rPr>
        <w:t>Heldenfels Bros., Inc. v. City of Corpus Christi</w:t>
      </w:r>
      <w:r w:rsidR="00600CCE">
        <w:t>, 832 S.W.2d 39, 41 (Tex. 1992)).</w:t>
      </w:r>
    </w:p>
  </w:footnote>
  <w:footnote w:id="3">
    <w:p w14:paraId="6EBDC73B" w14:textId="1A697D89" w:rsidR="006412A8" w:rsidRPr="003D655E" w:rsidRDefault="006412A8" w:rsidP="00990810">
      <w:pPr>
        <w:pStyle w:val="FootnoteText"/>
        <w:jc w:val="both"/>
      </w:pPr>
      <w:r>
        <w:rPr>
          <w:rStyle w:val="FootnoteReference"/>
        </w:rPr>
        <w:footnoteRef/>
      </w:r>
      <w:r>
        <w:t xml:space="preserve"> </w:t>
      </w:r>
      <w:proofErr w:type="spellStart"/>
      <w:r w:rsidR="003D655E">
        <w:rPr>
          <w:i/>
          <w:iCs/>
        </w:rPr>
        <w:t>Vo</w:t>
      </w:r>
      <w:r w:rsidR="004A03AD">
        <w:rPr>
          <w:i/>
          <w:iCs/>
        </w:rPr>
        <w:t>r</w:t>
      </w:r>
      <w:r w:rsidR="003D655E">
        <w:rPr>
          <w:i/>
          <w:iCs/>
        </w:rPr>
        <w:t>tt</w:t>
      </w:r>
      <w:proofErr w:type="spellEnd"/>
      <w:r w:rsidR="003D655E">
        <w:rPr>
          <w:i/>
          <w:iCs/>
        </w:rPr>
        <w:t xml:space="preserve"> </w:t>
      </w:r>
      <w:proofErr w:type="spellStart"/>
      <w:r w:rsidR="003D655E">
        <w:rPr>
          <w:i/>
          <w:iCs/>
        </w:rPr>
        <w:t>Expl</w:t>
      </w:r>
      <w:proofErr w:type="spellEnd"/>
      <w:r w:rsidR="003D655E">
        <w:rPr>
          <w:i/>
          <w:iCs/>
        </w:rPr>
        <w:t>. Co. v. Chevron U.S.A., Inc.,</w:t>
      </w:r>
      <w:r w:rsidR="003D655E">
        <w:t xml:space="preserve"> 787 S.2d 942, 944 (Tex. 1990). </w:t>
      </w:r>
    </w:p>
  </w:footnote>
  <w:footnote w:id="4">
    <w:p w14:paraId="6A836613" w14:textId="08A0C58C" w:rsidR="00E06EE2" w:rsidRPr="0020013C" w:rsidRDefault="00E06EE2" w:rsidP="0020013C">
      <w:pPr>
        <w:pStyle w:val="FootnoteText"/>
        <w:jc w:val="both"/>
        <w:rPr>
          <w:i/>
          <w:iCs/>
        </w:rPr>
      </w:pPr>
      <w:r>
        <w:rPr>
          <w:rStyle w:val="FootnoteReference"/>
        </w:rPr>
        <w:footnoteRef/>
      </w:r>
      <w:r>
        <w:t xml:space="preserve"> </w:t>
      </w:r>
      <w:r>
        <w:rPr>
          <w:i/>
          <w:iCs/>
        </w:rPr>
        <w:t>See Kittyhawk Landing Apartments III v. Anglin Const. Co.</w:t>
      </w:r>
      <w:r>
        <w:t xml:space="preserve">, </w:t>
      </w:r>
      <w:r w:rsidR="00770D7D">
        <w:t xml:space="preserve">737 S.W.2d 90 (Tex. App.—Houston [14th Dist.] 1987, writ ref’d n.r.e.); </w:t>
      </w:r>
      <w:r w:rsidR="00770D7D">
        <w:rPr>
          <w:i/>
          <w:iCs/>
        </w:rPr>
        <w:t xml:space="preserve">see also </w:t>
      </w:r>
      <w:r w:rsidR="00770D7D">
        <w:t xml:space="preserve">W. Kyle Gooch and Austin Moorman, </w:t>
      </w:r>
      <w:r w:rsidR="00770D7D" w:rsidRPr="001070A6">
        <w:rPr>
          <w:i/>
          <w:iCs/>
        </w:rPr>
        <w:t>Quantum Meruit: The Other Cause of</w:t>
      </w:r>
      <w:r w:rsidR="00770D7D">
        <w:rPr>
          <w:i/>
          <w:iCs/>
        </w:rPr>
        <w:t xml:space="preserve"> Action</w:t>
      </w:r>
      <w:r w:rsidR="00770D7D">
        <w:t xml:space="preserve">, 18 </w:t>
      </w:r>
      <w:r w:rsidR="00770D7D" w:rsidRPr="001B6198">
        <w:rPr>
          <w:smallCaps/>
        </w:rPr>
        <w:t>Tex. Const</w:t>
      </w:r>
      <w:r w:rsidR="00770D7D">
        <w:rPr>
          <w:smallCaps/>
        </w:rPr>
        <w:t>r</w:t>
      </w:r>
      <w:r w:rsidR="00770D7D" w:rsidRPr="001B6198">
        <w:rPr>
          <w:smallCaps/>
        </w:rPr>
        <w:t>. Law</w:t>
      </w:r>
      <w:r w:rsidR="00770D7D">
        <w:t xml:space="preserve"> </w:t>
      </w:r>
      <w:r w:rsidR="00770D7D" w:rsidRPr="001B6198">
        <w:rPr>
          <w:smallCaps/>
        </w:rPr>
        <w:t>J.</w:t>
      </w:r>
      <w:r w:rsidR="00770D7D">
        <w:t xml:space="preserve"> 6 (2022). </w:t>
      </w:r>
      <w:r w:rsidR="00770D7D">
        <w:rPr>
          <w:i/>
          <w:iCs/>
        </w:rPr>
        <w:t xml:space="preserve"> </w:t>
      </w:r>
    </w:p>
  </w:footnote>
  <w:footnote w:id="5">
    <w:p w14:paraId="295EC769" w14:textId="1055C4D0" w:rsidR="006412A8" w:rsidRPr="006412A8" w:rsidRDefault="006412A8" w:rsidP="00990810">
      <w:pPr>
        <w:pStyle w:val="FootnoteText"/>
        <w:jc w:val="both"/>
      </w:pPr>
      <w:r>
        <w:rPr>
          <w:rStyle w:val="FootnoteReference"/>
        </w:rPr>
        <w:footnoteRef/>
      </w:r>
      <w:r>
        <w:t xml:space="preserve"> </w:t>
      </w:r>
      <w:r>
        <w:rPr>
          <w:i/>
          <w:iCs/>
        </w:rPr>
        <w:t>Walker v. Brown</w:t>
      </w:r>
      <w:r>
        <w:t xml:space="preserve">, 28 Ill. 378, 383 (Ill. 1862). </w:t>
      </w:r>
    </w:p>
  </w:footnote>
  <w:footnote w:id="6">
    <w:p w14:paraId="78D4DE9E" w14:textId="68CC4587" w:rsidR="00913CDC" w:rsidRPr="00913CDC" w:rsidRDefault="00913CDC" w:rsidP="00F876E9">
      <w:pPr>
        <w:pStyle w:val="FootnoteText"/>
        <w:jc w:val="both"/>
      </w:pPr>
      <w:r>
        <w:rPr>
          <w:rStyle w:val="FootnoteReference"/>
        </w:rPr>
        <w:footnoteRef/>
      </w:r>
      <w:r>
        <w:t xml:space="preserve"> </w:t>
      </w:r>
      <w:r>
        <w:rPr>
          <w:i/>
          <w:iCs/>
        </w:rPr>
        <w:t>MJM Repairs, LLC v. CP2 Realty Holdings, LLC</w:t>
      </w:r>
      <w:r>
        <w:t xml:space="preserve">, No. 14-25-00025-CV, 2026 Tex. App. LEXIS 87, </w:t>
      </w:r>
      <w:r w:rsidR="00936D9C">
        <w:t xml:space="preserve">at </w:t>
      </w:r>
      <w:r>
        <w:t>*3 (Tex. App.—Houston [14th Dist.] Jan. 8, 2026, no pet. h.) (affirming JNOV on quantum meruit theory where jury found defendant did not breach the parties’ express contract).</w:t>
      </w:r>
    </w:p>
  </w:footnote>
  <w:footnote w:id="7">
    <w:p w14:paraId="157CDF1E" w14:textId="2778183C" w:rsidR="00740D85" w:rsidRDefault="00740D85" w:rsidP="00F876E9">
      <w:pPr>
        <w:pStyle w:val="FootnoteText"/>
        <w:jc w:val="both"/>
      </w:pPr>
      <w:r>
        <w:rPr>
          <w:rStyle w:val="FootnoteReference"/>
        </w:rPr>
        <w:footnoteRef/>
      </w:r>
      <w:r>
        <w:t xml:space="preserve"> </w:t>
      </w:r>
      <w:r w:rsidR="000A7AD2" w:rsidRPr="0020013C">
        <w:rPr>
          <w:smallCaps/>
        </w:rPr>
        <w:t>Tex. Prop. Code</w:t>
      </w:r>
      <w:r w:rsidR="000A7AD2">
        <w:t xml:space="preserve"> § 53.084.</w:t>
      </w:r>
    </w:p>
  </w:footnote>
  <w:footnote w:id="8">
    <w:p w14:paraId="27A7F447" w14:textId="02F80FB5" w:rsidR="00675663" w:rsidRPr="0079334E" w:rsidRDefault="00675663" w:rsidP="00F876E9">
      <w:pPr>
        <w:pStyle w:val="FootnoteText"/>
        <w:jc w:val="both"/>
      </w:pPr>
      <w:r>
        <w:rPr>
          <w:rStyle w:val="FootnoteReference"/>
        </w:rPr>
        <w:footnoteRef/>
      </w:r>
      <w:r>
        <w:t xml:space="preserve"> </w:t>
      </w:r>
      <w:r w:rsidR="0079334E">
        <w:rPr>
          <w:i/>
          <w:iCs/>
        </w:rPr>
        <w:t>Pepi Corp. v. Galliford</w:t>
      </w:r>
      <w:r w:rsidR="0079334E">
        <w:t xml:space="preserve">, 254 S.W.3d 457, 459 (Tex. App.—Houston [1st Dist.] 2007, no pet.); </w:t>
      </w:r>
      <w:r w:rsidR="0088534E" w:rsidRPr="0088534E">
        <w:rPr>
          <w:i/>
          <w:iCs/>
        </w:rPr>
        <w:t>Hester v. Friedkin Cos</w:t>
      </w:r>
      <w:r w:rsidR="0088534E" w:rsidRPr="0088534E">
        <w:t>.,132 S.W.3d 100, 106 (Tex. App.</w:t>
      </w:r>
      <w:r w:rsidR="001137A3">
        <w:t>—</w:t>
      </w:r>
      <w:r w:rsidR="0088534E" w:rsidRPr="0088534E">
        <w:t>Houston [14th Dist.] 2004, pet. denied)</w:t>
      </w:r>
      <w:r w:rsidR="00CF78C9">
        <w:t>.</w:t>
      </w:r>
    </w:p>
  </w:footnote>
  <w:footnote w:id="9">
    <w:p w14:paraId="1938425B" w14:textId="71525779" w:rsidR="00071EA5" w:rsidRDefault="00071EA5" w:rsidP="00F876E9">
      <w:pPr>
        <w:pStyle w:val="FootnoteText"/>
        <w:jc w:val="both"/>
      </w:pPr>
      <w:r>
        <w:rPr>
          <w:rStyle w:val="FootnoteReference"/>
        </w:rPr>
        <w:footnoteRef/>
      </w:r>
      <w:r>
        <w:t xml:space="preserve"> 254 S.W.3d </w:t>
      </w:r>
      <w:r w:rsidR="0079334E">
        <w:t xml:space="preserve">at </w:t>
      </w:r>
      <w:r>
        <w:t>459 (Tex. App.—Houston [1st Dist.] 2007, no pet.).</w:t>
      </w:r>
    </w:p>
  </w:footnote>
  <w:footnote w:id="10">
    <w:p w14:paraId="13363336" w14:textId="49C03FAD" w:rsidR="00071EA5" w:rsidRPr="00EB7D6A" w:rsidRDefault="00071EA5"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1">
    <w:p w14:paraId="1F0107A6" w14:textId="03061204" w:rsidR="00071EA5" w:rsidRDefault="00071EA5"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2">
    <w:p w14:paraId="3EE18B33" w14:textId="2E9DD9B1" w:rsidR="009B1957" w:rsidRDefault="009B1957"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3">
    <w:p w14:paraId="6D5CB86F" w14:textId="1EEF91C2" w:rsidR="00071EA5" w:rsidRDefault="00071EA5"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t>at 463.</w:t>
      </w:r>
    </w:p>
  </w:footnote>
  <w:footnote w:id="14">
    <w:p w14:paraId="3B5ABFE1" w14:textId="1B938489" w:rsidR="00071EA5" w:rsidRDefault="00071EA5"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5">
    <w:p w14:paraId="23BC5BF4" w14:textId="5F201597" w:rsidR="00F75AB8" w:rsidRDefault="00F75AB8" w:rsidP="00F876E9">
      <w:pPr>
        <w:pStyle w:val="FootnoteText"/>
        <w:jc w:val="both"/>
      </w:pPr>
      <w:r>
        <w:rPr>
          <w:rStyle w:val="FootnoteReference"/>
        </w:rPr>
        <w:footnoteRef/>
      </w:r>
      <w:r>
        <w:t xml:space="preserve"> 63 F.4th 452, 455 (5th Cir. 2023).</w:t>
      </w:r>
    </w:p>
  </w:footnote>
  <w:footnote w:id="16">
    <w:p w14:paraId="7CF88293" w14:textId="749DE29A" w:rsidR="003C60C8" w:rsidRDefault="003C60C8"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7">
    <w:p w14:paraId="7C95BEEE" w14:textId="47C3E70C" w:rsidR="005B265B" w:rsidRDefault="005B265B"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8">
    <w:p w14:paraId="10950FAC" w14:textId="5B723764" w:rsidR="005B265B" w:rsidRDefault="005B265B"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19">
    <w:p w14:paraId="3EB6C24C" w14:textId="6E664EB5" w:rsidR="005D184A" w:rsidRDefault="005D184A"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20">
    <w:p w14:paraId="3A88406D" w14:textId="461E7E7E" w:rsidR="005D184A" w:rsidRDefault="005D184A"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rsidR="00316B90">
        <w:t>at 457 n.3.</w:t>
      </w:r>
    </w:p>
  </w:footnote>
  <w:footnote w:id="21">
    <w:p w14:paraId="082FF009" w14:textId="3DDC8B50" w:rsidR="005D184A" w:rsidRDefault="005D184A"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22">
    <w:p w14:paraId="0402A732" w14:textId="67558EED" w:rsidR="005D184A" w:rsidRDefault="005D184A"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rsidR="00316B90">
        <w:t>at 455.</w:t>
      </w:r>
    </w:p>
  </w:footnote>
  <w:footnote w:id="23">
    <w:p w14:paraId="73101995" w14:textId="0D51CEB7" w:rsidR="005D184A" w:rsidRDefault="005D184A" w:rsidP="00F876E9">
      <w:pPr>
        <w:pStyle w:val="FootnoteText"/>
        <w:jc w:val="both"/>
      </w:pPr>
      <w:r>
        <w:rPr>
          <w:rStyle w:val="FootnoteReference"/>
        </w:rPr>
        <w:footnoteRef/>
      </w:r>
      <w:r>
        <w:t xml:space="preserve"> </w:t>
      </w:r>
      <w:r w:rsidR="00EB7D6A">
        <w:rPr>
          <w:i/>
          <w:iCs/>
        </w:rPr>
        <w:t>Id</w:t>
      </w:r>
      <w:r w:rsidR="00EB7D6A" w:rsidRPr="00D2144E">
        <w:rPr>
          <w:i/>
          <w:iCs/>
        </w:rPr>
        <w:t xml:space="preserve">. </w:t>
      </w:r>
      <w:r w:rsidR="00316B90">
        <w:t>at 455.</w:t>
      </w:r>
    </w:p>
  </w:footnote>
  <w:footnote w:id="24">
    <w:p w14:paraId="01E3571F" w14:textId="4FF865EF" w:rsidR="00675663" w:rsidRDefault="00675663" w:rsidP="00F876E9">
      <w:pPr>
        <w:pStyle w:val="FootnoteText"/>
        <w:jc w:val="both"/>
      </w:pPr>
      <w:r>
        <w:rPr>
          <w:rStyle w:val="FootnoteReference"/>
        </w:rPr>
        <w:footnoteRef/>
      </w:r>
      <w:r>
        <w:t xml:space="preserve"> </w:t>
      </w:r>
      <w:r w:rsidR="00EB7D6A">
        <w:rPr>
          <w:i/>
          <w:iCs/>
        </w:rPr>
        <w:t>Id</w:t>
      </w:r>
      <w:r w:rsidR="00EB7D6A" w:rsidRPr="00D2144E">
        <w:rPr>
          <w:i/>
          <w:iCs/>
        </w:rPr>
        <w:t xml:space="preserve">. </w:t>
      </w:r>
      <w:r w:rsidR="00ED1E06">
        <w:t>at 457.</w:t>
      </w:r>
    </w:p>
  </w:footnote>
  <w:footnote w:id="25">
    <w:p w14:paraId="17CEFE90" w14:textId="5B53004E" w:rsidR="00675663" w:rsidRDefault="00675663"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rsidR="00EB7D6A">
        <w:t xml:space="preserve">at </w:t>
      </w:r>
      <w:r>
        <w:t>457 n.3.</w:t>
      </w:r>
    </w:p>
  </w:footnote>
  <w:footnote w:id="26">
    <w:p w14:paraId="4E2FB952" w14:textId="4C1AEC6B" w:rsidR="00675663" w:rsidRDefault="00675663"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rsidR="00EB7D6A">
        <w:t>at</w:t>
      </w:r>
      <w:r w:rsidR="003F2102">
        <w:t xml:space="preserve"> 457.</w:t>
      </w:r>
    </w:p>
  </w:footnote>
  <w:footnote w:id="27">
    <w:p w14:paraId="3E640934" w14:textId="612DE883" w:rsidR="001B6198" w:rsidRDefault="001B6198" w:rsidP="00F876E9">
      <w:pPr>
        <w:pStyle w:val="FootnoteText"/>
        <w:jc w:val="both"/>
      </w:pPr>
      <w:r>
        <w:rPr>
          <w:rStyle w:val="FootnoteReference"/>
        </w:rPr>
        <w:footnoteRef/>
      </w:r>
      <w:r>
        <w:t xml:space="preserve"> </w:t>
      </w:r>
      <w:r>
        <w:rPr>
          <w:i/>
          <w:iCs/>
        </w:rPr>
        <w:t>Truly v. Austin</w:t>
      </w:r>
      <w:r>
        <w:t>, 744 S.W.2d 934, 93</w:t>
      </w:r>
      <w:r w:rsidR="001A5C4E">
        <w:t>7</w:t>
      </w:r>
      <w:r>
        <w:t xml:space="preserve"> (Tex. 1988). </w:t>
      </w:r>
    </w:p>
  </w:footnote>
  <w:footnote w:id="28">
    <w:p w14:paraId="36E291F2" w14:textId="393DE3CC" w:rsidR="00CF0144" w:rsidRPr="001019DB" w:rsidRDefault="00CF0144" w:rsidP="00F876E9">
      <w:pPr>
        <w:pStyle w:val="FootnoteText"/>
        <w:jc w:val="both"/>
      </w:pPr>
      <w:r>
        <w:rPr>
          <w:rStyle w:val="FootnoteReference"/>
        </w:rPr>
        <w:footnoteRef/>
      </w:r>
      <w:r>
        <w:t xml:space="preserve"> </w:t>
      </w:r>
      <w:r>
        <w:rPr>
          <w:i/>
          <w:iCs/>
        </w:rPr>
        <w:t>Murray v. Crest Constr.</w:t>
      </w:r>
      <w:r>
        <w:t xml:space="preserve">, 900 S.W.2d 342, </w:t>
      </w:r>
      <w:r w:rsidR="001019DB">
        <w:t xml:space="preserve">345 (Tex. 1995) (emphasis added) (citing </w:t>
      </w:r>
      <w:r w:rsidR="001019DB">
        <w:rPr>
          <w:i/>
          <w:iCs/>
        </w:rPr>
        <w:t>Truly</w:t>
      </w:r>
      <w:r w:rsidR="001019DB">
        <w:t xml:space="preserve">, 744 S.W.2d </w:t>
      </w:r>
      <w:r w:rsidR="001B6198">
        <w:t>at</w:t>
      </w:r>
      <w:r w:rsidR="001019DB">
        <w:t xml:space="preserve"> 936</w:t>
      </w:r>
      <w:r w:rsidR="00936D9C">
        <w:t>)</w:t>
      </w:r>
      <w:r w:rsidR="001019DB">
        <w:t xml:space="preserve">. </w:t>
      </w:r>
    </w:p>
  </w:footnote>
  <w:footnote w:id="29">
    <w:p w14:paraId="288D49C2" w14:textId="73CB690D" w:rsidR="003F2102" w:rsidRDefault="003F2102" w:rsidP="00F876E9">
      <w:pPr>
        <w:pStyle w:val="FootnoteText"/>
        <w:jc w:val="both"/>
      </w:pPr>
      <w:r>
        <w:rPr>
          <w:rStyle w:val="FootnoteReference"/>
        </w:rPr>
        <w:footnoteRef/>
      </w:r>
      <w:r>
        <w:t xml:space="preserve"> 744 S.W.2d 934, 937 (Tex. 1988) (emphasis original</w:t>
      </w:r>
      <w:r w:rsidR="003321D2">
        <w:t xml:space="preserve">) (citing </w:t>
      </w:r>
      <w:r w:rsidR="003321D2">
        <w:rPr>
          <w:i/>
          <w:iCs/>
        </w:rPr>
        <w:t>Sherman v. Connor</w:t>
      </w:r>
      <w:r w:rsidR="003321D2">
        <w:t>, 88 Tex. 35, 41 (Tex. 1895))</w:t>
      </w:r>
      <w:r>
        <w:t xml:space="preserve">. </w:t>
      </w:r>
    </w:p>
  </w:footnote>
  <w:footnote w:id="30">
    <w:p w14:paraId="1593CB01" w14:textId="1658ECC4" w:rsidR="003321D2" w:rsidRDefault="003321D2" w:rsidP="00F876E9">
      <w:pPr>
        <w:pStyle w:val="FootnoteText"/>
        <w:jc w:val="both"/>
      </w:pPr>
      <w:r w:rsidRPr="00685E8B">
        <w:rPr>
          <w:rStyle w:val="FootnoteReference"/>
        </w:rPr>
        <w:footnoteRef/>
      </w:r>
      <w:r w:rsidRPr="00685E8B">
        <w:t xml:space="preserve"> </w:t>
      </w:r>
      <w:r w:rsidR="00C25867" w:rsidRPr="0020013C">
        <w:rPr>
          <w:i/>
          <w:iCs/>
        </w:rPr>
        <w:t>Id.</w:t>
      </w:r>
    </w:p>
  </w:footnote>
  <w:footnote w:id="31">
    <w:p w14:paraId="3123A151" w14:textId="6C7FE501" w:rsidR="003321D2" w:rsidRPr="00115E34" w:rsidRDefault="003321D2" w:rsidP="00F876E9">
      <w:pPr>
        <w:pStyle w:val="FootnoteText"/>
        <w:jc w:val="both"/>
      </w:pPr>
      <w:r>
        <w:rPr>
          <w:rStyle w:val="FootnoteReference"/>
        </w:rPr>
        <w:footnoteRef/>
      </w:r>
      <w:r>
        <w:t xml:space="preserve"> </w:t>
      </w:r>
      <w:r w:rsidR="00115E34">
        <w:rPr>
          <w:i/>
          <w:iCs/>
        </w:rPr>
        <w:t>Lott v. Penny</w:t>
      </w:r>
      <w:r w:rsidR="00115E34">
        <w:t>, No. 05-99-00157-CV, 1999 Tex. App. LEXIS 9112, at **11</w:t>
      </w:r>
      <w:r w:rsidR="00115E34" w:rsidRPr="00BE0DF5">
        <w:t>–</w:t>
      </w:r>
      <w:r w:rsidR="00115E34">
        <w:t>12 (Tex. App.—Dallas Dec. 8, 1999, no pet.).</w:t>
      </w:r>
    </w:p>
  </w:footnote>
  <w:footnote w:id="32">
    <w:p w14:paraId="5E51EE25" w14:textId="4C46787D" w:rsidR="00922821" w:rsidRDefault="00922821" w:rsidP="00F876E9">
      <w:pPr>
        <w:pStyle w:val="FootnoteText"/>
        <w:jc w:val="both"/>
      </w:pPr>
      <w:r>
        <w:rPr>
          <w:rStyle w:val="FootnoteReference"/>
        </w:rPr>
        <w:footnoteRef/>
      </w:r>
      <w:r>
        <w:t xml:space="preserve"> </w:t>
      </w:r>
      <w:r w:rsidRPr="0020013C">
        <w:rPr>
          <w:smallCaps/>
        </w:rPr>
        <w:t>Tex. Prop. Code</w:t>
      </w:r>
      <w:r>
        <w:t xml:space="preserve"> </w:t>
      </w:r>
      <w:r w:rsidR="00F90356">
        <w:t>§ 53.021.</w:t>
      </w:r>
    </w:p>
  </w:footnote>
  <w:footnote w:id="33">
    <w:p w14:paraId="734773BC" w14:textId="01815459" w:rsidR="005E3430" w:rsidRPr="005E3430" w:rsidRDefault="005E3430" w:rsidP="00F876E9">
      <w:pPr>
        <w:pStyle w:val="FootnoteText"/>
        <w:jc w:val="both"/>
      </w:pPr>
      <w:r>
        <w:rPr>
          <w:rStyle w:val="FootnoteReference"/>
        </w:rPr>
        <w:footnoteRef/>
      </w:r>
      <w:r>
        <w:t xml:space="preserve"> </w:t>
      </w:r>
      <w:r>
        <w:rPr>
          <w:i/>
          <w:iCs/>
        </w:rPr>
        <w:t>Skyline Commer., Inc. v. ISC Acquisition Corp.</w:t>
      </w:r>
      <w:r>
        <w:t>, No. 05-17-00028-CV, 2018 Tex. App. LEXIS 6764,</w:t>
      </w:r>
      <w:r w:rsidR="00936D9C">
        <w:t xml:space="preserve"> at</w:t>
      </w:r>
      <w:r>
        <w:t xml:space="preserve"> *12 (Tex. App.—Dallas Aug. 23, 2018, pet. denied) (whether goods or services or covered by an express contract is a question of law, which a party therefore cannot judicially admit).</w:t>
      </w:r>
    </w:p>
  </w:footnote>
  <w:footnote w:id="34">
    <w:p w14:paraId="490B4820" w14:textId="24D216C4" w:rsidR="00FC46B1" w:rsidRPr="00FC46B1" w:rsidRDefault="00FC46B1" w:rsidP="00F876E9">
      <w:pPr>
        <w:pStyle w:val="FootnoteText"/>
        <w:jc w:val="both"/>
      </w:pPr>
      <w:r>
        <w:rPr>
          <w:rStyle w:val="FootnoteReference"/>
        </w:rPr>
        <w:footnoteRef/>
      </w:r>
      <w:r>
        <w:t xml:space="preserve"> </w:t>
      </w:r>
      <w:proofErr w:type="spellStart"/>
      <w:r>
        <w:rPr>
          <w:i/>
          <w:iCs/>
        </w:rPr>
        <w:t>Vortt</w:t>
      </w:r>
      <w:proofErr w:type="spellEnd"/>
      <w:r w:rsidR="00037B99">
        <w:rPr>
          <w:i/>
          <w:iCs/>
        </w:rPr>
        <w:t xml:space="preserve"> </w:t>
      </w:r>
      <w:proofErr w:type="spellStart"/>
      <w:r w:rsidR="001A5C4E">
        <w:rPr>
          <w:i/>
          <w:iCs/>
        </w:rPr>
        <w:t>Expl</w:t>
      </w:r>
      <w:proofErr w:type="spellEnd"/>
      <w:r w:rsidR="001A5C4E">
        <w:rPr>
          <w:i/>
          <w:iCs/>
        </w:rPr>
        <w:t xml:space="preserve">. </w:t>
      </w:r>
      <w:r>
        <w:rPr>
          <w:i/>
          <w:iCs/>
        </w:rPr>
        <w:t>Co.</w:t>
      </w:r>
      <w:r>
        <w:t>, 787 S.W.2d at 944.</w:t>
      </w:r>
    </w:p>
  </w:footnote>
  <w:footnote w:id="35">
    <w:p w14:paraId="365BC56E" w14:textId="2663916D" w:rsidR="00FC46B1" w:rsidRPr="00FC46B1" w:rsidRDefault="00FC46B1" w:rsidP="00F876E9">
      <w:pPr>
        <w:pStyle w:val="FootnoteText"/>
        <w:jc w:val="both"/>
      </w:pPr>
      <w:r>
        <w:rPr>
          <w:rStyle w:val="FootnoteReference"/>
        </w:rPr>
        <w:footnoteRef/>
      </w:r>
      <w:r>
        <w:t xml:space="preserve"> </w:t>
      </w:r>
      <w:r>
        <w:rPr>
          <w:i/>
          <w:iCs/>
        </w:rPr>
        <w:t>McFarland v. Sanders</w:t>
      </w:r>
      <w:r>
        <w:t xml:space="preserve">¸932 S.W.2d 640, 643 (Tex. App.—Tyler 1996, no writ) </w:t>
      </w:r>
      <w:r w:rsidR="0079334E">
        <w:t xml:space="preserve">(contractor had no quantum meruit claim against property owner where he was hired by outside party and where property owner was not a party to the contract) </w:t>
      </w:r>
      <w:r>
        <w:t xml:space="preserve">(citing </w:t>
      </w:r>
      <w:proofErr w:type="spellStart"/>
      <w:proofErr w:type="gramStart"/>
      <w:r>
        <w:rPr>
          <w:i/>
          <w:iCs/>
        </w:rPr>
        <w:t>Vortt</w:t>
      </w:r>
      <w:proofErr w:type="spellEnd"/>
      <w:r>
        <w:rPr>
          <w:i/>
          <w:iCs/>
        </w:rPr>
        <w:t xml:space="preserve"> </w:t>
      </w:r>
      <w:r w:rsidR="00037B99">
        <w:rPr>
          <w:i/>
          <w:iCs/>
        </w:rPr>
        <w:t xml:space="preserve"> </w:t>
      </w:r>
      <w:proofErr w:type="spellStart"/>
      <w:r w:rsidR="001A5C4E">
        <w:rPr>
          <w:i/>
          <w:iCs/>
        </w:rPr>
        <w:t>Expl</w:t>
      </w:r>
      <w:proofErr w:type="spellEnd"/>
      <w:proofErr w:type="gramEnd"/>
      <w:r w:rsidR="001A5C4E">
        <w:rPr>
          <w:i/>
          <w:iCs/>
        </w:rPr>
        <w:t xml:space="preserve">. </w:t>
      </w:r>
      <w:r>
        <w:rPr>
          <w:i/>
          <w:iCs/>
        </w:rPr>
        <w:t>Co.</w:t>
      </w:r>
      <w:r>
        <w:t xml:space="preserve">, 787 S.W.2d at 944 </w:t>
      </w:r>
      <w:r>
        <w:rPr>
          <w:i/>
          <w:iCs/>
        </w:rPr>
        <w:t>and Economy Forms Corp. v. Williams Bros. Constr. Co.</w:t>
      </w:r>
      <w:r>
        <w:t>, 754 S.W.2d 451, 458 (Tex. App.—Houston [14th Dist.] 1998, no writ))</w:t>
      </w:r>
      <w:r w:rsidR="0079334E">
        <w:t xml:space="preserve">; </w:t>
      </w:r>
      <w:r w:rsidR="00EB577C">
        <w:rPr>
          <w:i/>
          <w:iCs/>
        </w:rPr>
        <w:t xml:space="preserve">see </w:t>
      </w:r>
      <w:r w:rsidR="0079334E">
        <w:rPr>
          <w:i/>
          <w:iCs/>
        </w:rPr>
        <w:t>also Bashara v. Baptist Mem. Hosp. Sys.</w:t>
      </w:r>
      <w:r w:rsidR="0079334E">
        <w:t xml:space="preserve">, 685 S.W.2d 307, 311 (Tex. 1985) (quantum meruit not available where benefit to defendant was “merely incidental”).   </w:t>
      </w:r>
    </w:p>
  </w:footnote>
  <w:footnote w:id="36">
    <w:p w14:paraId="17C10CC9" w14:textId="52DE8E89" w:rsidR="00B86376" w:rsidRPr="006658F1" w:rsidRDefault="00B86376" w:rsidP="00F876E9">
      <w:pPr>
        <w:pStyle w:val="FootnoteText"/>
        <w:jc w:val="both"/>
      </w:pPr>
      <w:r>
        <w:rPr>
          <w:rStyle w:val="FootnoteReference"/>
        </w:rPr>
        <w:footnoteRef/>
      </w:r>
      <w:r>
        <w:t xml:space="preserve"> </w:t>
      </w:r>
      <w:r w:rsidR="006658F1">
        <w:rPr>
          <w:i/>
          <w:iCs/>
        </w:rPr>
        <w:t>Heldenfels</w:t>
      </w:r>
      <w:r w:rsidR="006658F1">
        <w:t xml:space="preserve">, 832 S.W.2d </w:t>
      </w:r>
      <w:r w:rsidR="00DA5600">
        <w:t>at</w:t>
      </w:r>
      <w:r w:rsidR="006658F1">
        <w:t xml:space="preserve"> 41</w:t>
      </w:r>
      <w:r w:rsidR="00DA5600">
        <w:t>.</w:t>
      </w:r>
      <w:r w:rsidR="006658F1">
        <w:t xml:space="preserve"> </w:t>
      </w:r>
    </w:p>
  </w:footnote>
  <w:footnote w:id="37">
    <w:p w14:paraId="0179F42A" w14:textId="0FEE23AF" w:rsidR="001F59DA" w:rsidRDefault="001F59DA"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t>at 39.</w:t>
      </w:r>
    </w:p>
  </w:footnote>
  <w:footnote w:id="38">
    <w:p w14:paraId="0430EA46" w14:textId="60BE8031" w:rsidR="001F59DA" w:rsidRDefault="001F59DA" w:rsidP="00F876E9">
      <w:pPr>
        <w:pStyle w:val="FootnoteText"/>
        <w:jc w:val="both"/>
      </w:pPr>
      <w:r>
        <w:rPr>
          <w:rStyle w:val="FootnoteReference"/>
        </w:rPr>
        <w:footnoteRef/>
      </w:r>
      <w:r>
        <w:t xml:space="preserve"> </w:t>
      </w:r>
      <w:r w:rsidR="00EB7D6A">
        <w:rPr>
          <w:i/>
          <w:iCs/>
        </w:rPr>
        <w:t>Id</w:t>
      </w:r>
      <w:r w:rsidR="00EB7D6A" w:rsidRPr="00D2144E">
        <w:rPr>
          <w:i/>
          <w:iCs/>
        </w:rPr>
        <w:t>.</w:t>
      </w:r>
      <w:r w:rsidR="00EB7D6A">
        <w:rPr>
          <w:i/>
          <w:iCs/>
        </w:rPr>
        <w:t xml:space="preserve"> </w:t>
      </w:r>
      <w:r>
        <w:t>at 41</w:t>
      </w:r>
      <w:r w:rsidR="00DA5600">
        <w:t xml:space="preserve"> (emphasis added)</w:t>
      </w:r>
      <w:r>
        <w:t xml:space="preserve">. </w:t>
      </w:r>
    </w:p>
  </w:footnote>
  <w:footnote w:id="39">
    <w:p w14:paraId="5885F0AB" w14:textId="6C628803" w:rsidR="001F59DA" w:rsidRDefault="001F59DA"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40">
    <w:p w14:paraId="62219A4E" w14:textId="1B08C38B" w:rsidR="008B425F" w:rsidRDefault="008B425F" w:rsidP="00F876E9">
      <w:pPr>
        <w:pStyle w:val="FootnoteText"/>
        <w:jc w:val="both"/>
      </w:pPr>
      <w:r>
        <w:rPr>
          <w:rStyle w:val="FootnoteReference"/>
        </w:rPr>
        <w:footnoteRef/>
      </w:r>
      <w:r>
        <w:t xml:space="preserve"> </w:t>
      </w:r>
      <w:r w:rsidR="00EB7D6A">
        <w:rPr>
          <w:i/>
          <w:iCs/>
        </w:rPr>
        <w:t>Id</w:t>
      </w:r>
      <w:r w:rsidRPr="00685A24">
        <w:t>.</w:t>
      </w:r>
    </w:p>
  </w:footnote>
  <w:footnote w:id="41">
    <w:p w14:paraId="447B2837" w14:textId="57B4C015" w:rsidR="005B0234" w:rsidRPr="004968D4" w:rsidRDefault="005B0234" w:rsidP="00F876E9">
      <w:pPr>
        <w:pStyle w:val="FootnoteText"/>
        <w:jc w:val="both"/>
      </w:pPr>
      <w:r>
        <w:rPr>
          <w:rStyle w:val="FootnoteReference"/>
        </w:rPr>
        <w:footnoteRef/>
      </w:r>
      <w:r>
        <w:t xml:space="preserve"> </w:t>
      </w:r>
      <w:r w:rsidR="004968D4">
        <w:rPr>
          <w:i/>
          <w:iCs/>
        </w:rPr>
        <w:t xml:space="preserve">See, e.g., Park v. </w:t>
      </w:r>
      <w:proofErr w:type="spellStart"/>
      <w:r w:rsidR="004968D4">
        <w:rPr>
          <w:i/>
          <w:iCs/>
        </w:rPr>
        <w:t>Aboudail</w:t>
      </w:r>
      <w:proofErr w:type="spellEnd"/>
      <w:r w:rsidR="004968D4">
        <w:t>, No. 02-20-00260-CV, 2021 Tex. App. LEXIS 2914,</w:t>
      </w:r>
      <w:r w:rsidR="00936D9C">
        <w:t xml:space="preserve"> at</w:t>
      </w:r>
      <w:r w:rsidR="004968D4">
        <w:t xml:space="preserve"> *11 (Tex. App.—Fort Worth Apr. 15, 2021, no pet.) (affirming take-nothing judgment on quantum meruit claim where evidence showed plaintiff did not expect to be paid </w:t>
      </w:r>
      <w:r w:rsidR="00605B2A">
        <w:t xml:space="preserve">by the defendant at the time plaintiff provided services); </w:t>
      </w:r>
      <w:r w:rsidR="00605B2A">
        <w:rPr>
          <w:i/>
          <w:iCs/>
        </w:rPr>
        <w:t>Tricon Tool &amp; Supply, Inc. v. Thumann</w:t>
      </w:r>
      <w:r w:rsidR="00605B2A">
        <w:t>, 226 S.W.2d 494, 504 (Tex. App.—Houston [1st Dist.] 2006, pet. denied) (same).</w:t>
      </w:r>
    </w:p>
  </w:footnote>
  <w:footnote w:id="42">
    <w:p w14:paraId="3B6E3520" w14:textId="303191FF" w:rsidR="00524147" w:rsidRPr="00524147" w:rsidRDefault="00524147" w:rsidP="00F876E9">
      <w:pPr>
        <w:pStyle w:val="FootnoteText"/>
        <w:jc w:val="both"/>
        <w:rPr>
          <w:i/>
          <w:iCs/>
        </w:rPr>
      </w:pPr>
      <w:r>
        <w:rPr>
          <w:rStyle w:val="FootnoteReference"/>
        </w:rPr>
        <w:footnoteRef/>
      </w:r>
      <w:r>
        <w:t xml:space="preserve"> </w:t>
      </w:r>
      <w:r>
        <w:rPr>
          <w:i/>
          <w:iCs/>
        </w:rPr>
        <w:t xml:space="preserve">Credos Indus. Supplies &amp; Rentals, LLC v. Targa Pipeline Mid-Continent </w:t>
      </w:r>
      <w:proofErr w:type="spellStart"/>
      <w:r>
        <w:rPr>
          <w:i/>
          <w:iCs/>
        </w:rPr>
        <w:t>WestTex</w:t>
      </w:r>
      <w:proofErr w:type="spellEnd"/>
      <w:r>
        <w:rPr>
          <w:i/>
          <w:iCs/>
        </w:rPr>
        <w:t xml:space="preserve"> LLC (In re KP Eng’g, LP)</w:t>
      </w:r>
      <w:r>
        <w:t>, No. H-22-00664</w:t>
      </w:r>
      <w:r w:rsidR="00BD2C85">
        <w:t xml:space="preserve">, 2022 U.S. Dist. LEXIS 145150, </w:t>
      </w:r>
      <w:r w:rsidR="00936D9C">
        <w:t xml:space="preserve">at </w:t>
      </w:r>
      <w:r w:rsidR="00BD2C85">
        <w:t>*13</w:t>
      </w:r>
      <w:r>
        <w:t xml:space="preserve"> (S.D. Tex. Aug. 15, 2022), </w:t>
      </w:r>
      <w:r>
        <w:rPr>
          <w:i/>
          <w:iCs/>
        </w:rPr>
        <w:t>aff’d on other grounds</w:t>
      </w:r>
      <w:r>
        <w:t xml:space="preserve">, 63 F.4th </w:t>
      </w:r>
      <w:r w:rsidR="00CA6EAC">
        <w:t>at</w:t>
      </w:r>
      <w:r>
        <w:t xml:space="preserve"> 455 (5th Cir. 2023).</w:t>
      </w:r>
      <w:r>
        <w:rPr>
          <w:i/>
          <w:iCs/>
        </w:rPr>
        <w:t xml:space="preserve"> </w:t>
      </w:r>
    </w:p>
  </w:footnote>
  <w:footnote w:id="43">
    <w:p w14:paraId="5C30635B" w14:textId="78BAADAA" w:rsidR="00BD2C85" w:rsidRDefault="00BD2C85" w:rsidP="00F876E9">
      <w:pPr>
        <w:pStyle w:val="FootnoteText"/>
        <w:jc w:val="both"/>
      </w:pPr>
      <w:r>
        <w:rPr>
          <w:rStyle w:val="FootnoteReference"/>
        </w:rPr>
        <w:footnoteRef/>
      </w:r>
      <w:r>
        <w:t xml:space="preserve"> 2022 U.S. Dist. LEXIS 145150 at *1</w:t>
      </w:r>
      <w:r w:rsidR="00BE0DF5">
        <w:t>4</w:t>
      </w:r>
      <w:r w:rsidR="00AB60C9">
        <w:t xml:space="preserve"> (emphasis original)</w:t>
      </w:r>
      <w:r>
        <w:t>.</w:t>
      </w:r>
    </w:p>
  </w:footnote>
  <w:footnote w:id="44">
    <w:p w14:paraId="6DAA7813" w14:textId="2CA53E48" w:rsidR="00D174C7" w:rsidRDefault="00D174C7" w:rsidP="00F876E9">
      <w:pPr>
        <w:pStyle w:val="FootnoteText"/>
        <w:jc w:val="both"/>
      </w:pPr>
      <w:r>
        <w:rPr>
          <w:rStyle w:val="FootnoteReference"/>
        </w:rPr>
        <w:footnoteRef/>
      </w:r>
      <w:r>
        <w:t xml:space="preserve"> 2018 Tex. App. LEXIS 6764 at **1</w:t>
      </w:r>
      <w:r w:rsidR="00BE0DF5" w:rsidRPr="00BE0DF5">
        <w:t>–</w:t>
      </w:r>
      <w:r>
        <w:t xml:space="preserve">2. </w:t>
      </w:r>
    </w:p>
  </w:footnote>
  <w:footnote w:id="45">
    <w:p w14:paraId="7840186C" w14:textId="1D224CC3" w:rsidR="00D174C7" w:rsidRDefault="00D174C7" w:rsidP="00F876E9">
      <w:pPr>
        <w:pStyle w:val="FootnoteText"/>
        <w:jc w:val="both"/>
      </w:pPr>
      <w:r>
        <w:rPr>
          <w:rStyle w:val="FootnoteReference"/>
        </w:rPr>
        <w:footnoteRef/>
      </w:r>
      <w:r>
        <w:t xml:space="preserve"> </w:t>
      </w:r>
      <w:r w:rsidR="00EB7D6A">
        <w:rPr>
          <w:i/>
          <w:iCs/>
        </w:rPr>
        <w:t>Id</w:t>
      </w:r>
      <w:r w:rsidR="00EB7D6A" w:rsidRPr="00D2144E">
        <w:rPr>
          <w:i/>
          <w:iCs/>
        </w:rPr>
        <w:t>.</w:t>
      </w:r>
      <w:r w:rsidRPr="00685A24">
        <w:t xml:space="preserve"> </w:t>
      </w:r>
      <w:r>
        <w:t>at *2.</w:t>
      </w:r>
    </w:p>
  </w:footnote>
  <w:footnote w:id="46">
    <w:p w14:paraId="718ECEF8" w14:textId="29F23AAA" w:rsidR="00777CD0" w:rsidRDefault="00777CD0" w:rsidP="00F876E9">
      <w:pPr>
        <w:pStyle w:val="FootnoteText"/>
        <w:jc w:val="both"/>
      </w:pPr>
      <w:r>
        <w:rPr>
          <w:rStyle w:val="FootnoteReference"/>
        </w:rPr>
        <w:footnoteRef/>
      </w:r>
      <w:r>
        <w:t xml:space="preserve"> </w:t>
      </w:r>
      <w:r w:rsidR="00EB7D6A">
        <w:rPr>
          <w:i/>
          <w:iCs/>
        </w:rPr>
        <w:t>Id</w:t>
      </w:r>
      <w:r w:rsidR="00EB7D6A" w:rsidRPr="00D2144E">
        <w:rPr>
          <w:i/>
          <w:iCs/>
        </w:rPr>
        <w:t>.</w:t>
      </w:r>
      <w:r>
        <w:t xml:space="preserve"> at *15.</w:t>
      </w:r>
    </w:p>
  </w:footnote>
  <w:footnote w:id="47">
    <w:p w14:paraId="4A2A0AD0" w14:textId="5419189F" w:rsidR="00777CD0" w:rsidRPr="00EB7D6A" w:rsidRDefault="00777CD0" w:rsidP="00F876E9">
      <w:pPr>
        <w:pStyle w:val="FootnoteText"/>
        <w:jc w:val="both"/>
      </w:pPr>
      <w:r>
        <w:rPr>
          <w:rStyle w:val="FootnoteReference"/>
        </w:rPr>
        <w:footnoteRef/>
      </w:r>
      <w:r>
        <w:t xml:space="preserve"> </w:t>
      </w:r>
      <w:r w:rsidR="00EB7D6A">
        <w:rPr>
          <w:i/>
          <w:iCs/>
        </w:rPr>
        <w:t>Id</w:t>
      </w:r>
      <w:r w:rsidR="00EB7D6A" w:rsidRPr="00D2144E">
        <w:rPr>
          <w:i/>
          <w:iCs/>
        </w:rPr>
        <w:t>.</w:t>
      </w:r>
    </w:p>
  </w:footnote>
  <w:footnote w:id="48">
    <w:p w14:paraId="2B70500C" w14:textId="1A5C6D54" w:rsidR="00777CD0" w:rsidRDefault="00777CD0" w:rsidP="00370706">
      <w:pPr>
        <w:pStyle w:val="FootnoteText"/>
        <w:jc w:val="both"/>
      </w:pPr>
      <w:r>
        <w:rPr>
          <w:rStyle w:val="FootnoteReference"/>
        </w:rPr>
        <w:footnoteRef/>
      </w:r>
      <w:r>
        <w:t xml:space="preserve"> </w:t>
      </w:r>
      <w:r w:rsidR="00EB7D6A">
        <w:rPr>
          <w:i/>
          <w:iCs/>
        </w:rPr>
        <w:t>Id</w:t>
      </w:r>
      <w:r w:rsidR="00EB7D6A" w:rsidRPr="00D2144E">
        <w:rPr>
          <w:i/>
          <w:iCs/>
        </w:rPr>
        <w:t>.</w:t>
      </w:r>
      <w:r w:rsidRPr="00685A24">
        <w:t xml:space="preserve"> </w:t>
      </w:r>
      <w:r>
        <w:t>at *7.</w:t>
      </w:r>
    </w:p>
  </w:footnote>
  <w:footnote w:id="49">
    <w:p w14:paraId="6933FD48" w14:textId="5A531CCE" w:rsidR="00777CD0" w:rsidRPr="00916A46" w:rsidRDefault="00777CD0" w:rsidP="00370706">
      <w:pPr>
        <w:pStyle w:val="FootnoteText"/>
        <w:jc w:val="both"/>
      </w:pPr>
      <w:r>
        <w:rPr>
          <w:rStyle w:val="FootnoteReference"/>
        </w:rPr>
        <w:footnoteRef/>
      </w:r>
      <w:r>
        <w:t xml:space="preserve"> </w:t>
      </w:r>
      <w:r w:rsidR="00916A46">
        <w:rPr>
          <w:i/>
          <w:iCs/>
        </w:rPr>
        <w:t>Id</w:t>
      </w:r>
      <w:r w:rsidR="00916A46" w:rsidRPr="00D2144E">
        <w:rPr>
          <w:i/>
          <w:iCs/>
        </w:rPr>
        <w:t>.</w:t>
      </w:r>
      <w:r w:rsidR="00916A46">
        <w:rPr>
          <w:i/>
          <w:iCs/>
        </w:rPr>
        <w:t xml:space="preserve"> </w:t>
      </w:r>
      <w:r w:rsidR="00916A46">
        <w:t>at **16</w:t>
      </w:r>
      <w:r w:rsidR="00BE0DF5" w:rsidRPr="00BE0DF5">
        <w:t>–</w:t>
      </w:r>
      <w:r w:rsidR="00916A46">
        <w:t>17.</w:t>
      </w:r>
    </w:p>
  </w:footnote>
  <w:footnote w:id="50">
    <w:p w14:paraId="25F92A2B" w14:textId="75707BFF" w:rsidR="00CA6EAC" w:rsidRPr="00CA6EAC" w:rsidRDefault="00CA6EAC" w:rsidP="0020013C">
      <w:pPr>
        <w:pStyle w:val="FootnoteText"/>
        <w:jc w:val="both"/>
      </w:pPr>
      <w:r>
        <w:rPr>
          <w:rStyle w:val="FootnoteReference"/>
        </w:rPr>
        <w:footnoteRef/>
      </w:r>
      <w:r>
        <w:t xml:space="preserve"> </w:t>
      </w:r>
      <w:r>
        <w:rPr>
          <w:i/>
          <w:iCs/>
        </w:rPr>
        <w:t>Id.</w:t>
      </w:r>
    </w:p>
  </w:footnote>
  <w:footnote w:id="51">
    <w:p w14:paraId="1C25D242" w14:textId="6CEB1FF0" w:rsidR="00DC375C" w:rsidRPr="00745BDD" w:rsidRDefault="00DC375C" w:rsidP="00370706">
      <w:pPr>
        <w:pStyle w:val="FootnoteText"/>
        <w:jc w:val="both"/>
      </w:pPr>
      <w:r>
        <w:rPr>
          <w:rStyle w:val="FootnoteReference"/>
        </w:rPr>
        <w:footnoteRef/>
      </w:r>
      <w:r>
        <w:t xml:space="preserve"> </w:t>
      </w:r>
      <w:r w:rsidR="00396EF7">
        <w:rPr>
          <w:i/>
          <w:iCs/>
        </w:rPr>
        <w:t>Id.</w:t>
      </w:r>
      <w:r w:rsidR="00745BDD">
        <w:t xml:space="preserve"> (citing </w:t>
      </w:r>
      <w:r w:rsidR="00396EF7">
        <w:rPr>
          <w:i/>
          <w:iCs/>
        </w:rPr>
        <w:t xml:space="preserve">Tricon Tool &amp; Supply, Inc. v. </w:t>
      </w:r>
      <w:r w:rsidR="00745BDD">
        <w:rPr>
          <w:i/>
          <w:iCs/>
        </w:rPr>
        <w:t>Thumann</w:t>
      </w:r>
      <w:r w:rsidR="00745BDD">
        <w:t>, 226 S.W.</w:t>
      </w:r>
      <w:r w:rsidR="00396EF7">
        <w:t>3</w:t>
      </w:r>
      <w:r w:rsidR="00745BDD">
        <w:t xml:space="preserve">d </w:t>
      </w:r>
      <w:r w:rsidR="00396EF7">
        <w:t xml:space="preserve">494, </w:t>
      </w:r>
      <w:r w:rsidR="00745BDD">
        <w:t xml:space="preserve">504 </w:t>
      </w:r>
      <w:r w:rsidR="00396EF7">
        <w:t>(Tex. App.—Houston [1st Dist</w:t>
      </w:r>
      <w:r w:rsidR="00B60D85">
        <w:t>.</w:t>
      </w:r>
      <w:r w:rsidR="00396EF7">
        <w:t xml:space="preserve">] 2006, pet. denied) </w:t>
      </w:r>
      <w:r w:rsidR="00745BDD">
        <w:t>(“The notice element focuses on what Tricon [the defendant], not Thumann [the plaintiff] knew or should have known at the time Tricon accepted the services.”)</w:t>
      </w:r>
      <w:r w:rsidR="00396EF7">
        <w:t xml:space="preserve"> (internal citations omitted)</w:t>
      </w:r>
      <w:r w:rsidR="00745BDD">
        <w:t xml:space="preserve">). </w:t>
      </w:r>
    </w:p>
  </w:footnote>
  <w:footnote w:id="52">
    <w:p w14:paraId="44B1DF9F" w14:textId="3E12A9D2" w:rsidR="00AB60C9" w:rsidRPr="00AB60C9" w:rsidRDefault="00AB60C9" w:rsidP="00370706">
      <w:pPr>
        <w:pStyle w:val="FootnoteText"/>
        <w:jc w:val="both"/>
      </w:pPr>
      <w:r>
        <w:rPr>
          <w:rStyle w:val="FootnoteReference"/>
        </w:rPr>
        <w:footnoteRef/>
      </w:r>
      <w:r>
        <w:t xml:space="preserve"> </w:t>
      </w:r>
      <w:r>
        <w:rPr>
          <w:i/>
          <w:iCs/>
        </w:rPr>
        <w:t>See Credos</w:t>
      </w:r>
      <w:r>
        <w:t xml:space="preserve">, 2022 U.S. Dist. LEXIS at *13 (“Credos sought payment from [the owner] </w:t>
      </w:r>
      <w:r>
        <w:rPr>
          <w:i/>
          <w:iCs/>
        </w:rPr>
        <w:t xml:space="preserve">after </w:t>
      </w:r>
      <w:r>
        <w:t>[the general contractor] failed to timely pay.”) (emphasis original).</w:t>
      </w:r>
    </w:p>
  </w:footnote>
  <w:footnote w:id="53">
    <w:p w14:paraId="2B99F21A" w14:textId="13351A8C" w:rsidR="002C3C22" w:rsidRPr="002C3C22" w:rsidRDefault="002C3C22" w:rsidP="00F876E9">
      <w:pPr>
        <w:pStyle w:val="FootnoteText"/>
        <w:jc w:val="both"/>
      </w:pPr>
      <w:r>
        <w:rPr>
          <w:rStyle w:val="FootnoteReference"/>
        </w:rPr>
        <w:footnoteRef/>
      </w:r>
      <w:r>
        <w:t xml:space="preserve"> </w:t>
      </w:r>
      <w:r>
        <w:rPr>
          <w:i/>
          <w:iCs/>
        </w:rPr>
        <w:t>Hill v. Shamoun &amp; Norma</w:t>
      </w:r>
      <w:r w:rsidR="00FD13E6">
        <w:rPr>
          <w:i/>
          <w:iCs/>
        </w:rPr>
        <w:t>n</w:t>
      </w:r>
      <w:r>
        <w:rPr>
          <w:i/>
          <w:iCs/>
        </w:rPr>
        <w:t>, LLP</w:t>
      </w:r>
      <w:r>
        <w:t xml:space="preserve">, 544 S.W.3d 724, 733 (Tex. 2018). </w:t>
      </w:r>
    </w:p>
  </w:footnote>
  <w:footnote w:id="54">
    <w:p w14:paraId="5087845F" w14:textId="2BF9CEEA" w:rsidR="002C3C22" w:rsidRDefault="002C3C22" w:rsidP="00F876E9">
      <w:pPr>
        <w:pStyle w:val="FootnoteText"/>
        <w:jc w:val="both"/>
      </w:pPr>
      <w:r>
        <w:rPr>
          <w:rStyle w:val="FootnoteReference"/>
        </w:rPr>
        <w:footnoteRef/>
      </w:r>
      <w:r>
        <w:t xml:space="preserve"> </w:t>
      </w:r>
      <w:r w:rsidR="00DB7EA2">
        <w:t>372 S.W.3d 625, 627 (Tex. 2012).</w:t>
      </w:r>
    </w:p>
  </w:footnote>
  <w:footnote w:id="55">
    <w:p w14:paraId="660A75F4" w14:textId="716E69F4" w:rsidR="002C3C22" w:rsidRDefault="002C3C22" w:rsidP="00F876E9">
      <w:pPr>
        <w:pStyle w:val="FootnoteText"/>
        <w:jc w:val="both"/>
      </w:pPr>
      <w:r>
        <w:rPr>
          <w:rStyle w:val="FootnoteReference"/>
        </w:rPr>
        <w:footnoteRef/>
      </w:r>
      <w:r>
        <w:t xml:space="preserve"> </w:t>
      </w:r>
      <w:r w:rsidR="00DB7EA2">
        <w:t>134 S.W.3d 195, 201 (Tex. 2004).</w:t>
      </w:r>
    </w:p>
  </w:footnote>
  <w:footnote w:id="56">
    <w:p w14:paraId="073D6A2C" w14:textId="7748371C" w:rsidR="002C3C22" w:rsidRPr="008F013E" w:rsidRDefault="002C3C22" w:rsidP="00F876E9">
      <w:pPr>
        <w:pStyle w:val="FootnoteText"/>
        <w:jc w:val="both"/>
      </w:pPr>
      <w:r>
        <w:rPr>
          <w:rStyle w:val="FootnoteReference"/>
        </w:rPr>
        <w:footnoteRef/>
      </w:r>
      <w:r>
        <w:t xml:space="preserve"> </w:t>
      </w:r>
      <w:r w:rsidR="00561E9C">
        <w:rPr>
          <w:i/>
          <w:iCs/>
        </w:rPr>
        <w:t>Brender v. Sanders Plumbing, Inc.</w:t>
      </w:r>
      <w:r w:rsidR="00561E9C">
        <w:t>, No. 2-05-067-CV, 2006 Tex. App. LEXIS 6354</w:t>
      </w:r>
      <w:r w:rsidR="00936D9C">
        <w:t>, at</w:t>
      </w:r>
      <w:r w:rsidR="00561E9C">
        <w:t xml:space="preserve"> **13</w:t>
      </w:r>
      <w:r w:rsidR="00BE0DF5" w:rsidRPr="00BE0DF5">
        <w:t>–</w:t>
      </w:r>
      <w:r w:rsidR="00561E9C">
        <w:t>14 (Tex. App.—Fort Worth Jul. 20, 2006, no pet.) (“[P]roof of the amounts charged alone may not raise an issue of reasonableness.”)</w:t>
      </w:r>
      <w:r w:rsidR="008F013E">
        <w:t xml:space="preserve">; </w:t>
      </w:r>
      <w:r w:rsidR="008F013E">
        <w:rPr>
          <w:i/>
          <w:iCs/>
        </w:rPr>
        <w:t>see also MMR Int’l, Ltd. v. Waller Marine, Inc.</w:t>
      </w:r>
      <w:r w:rsidR="008F013E">
        <w:t>, No. H-11-1188, 2013 U.S. Dist. LEXIS 174929</w:t>
      </w:r>
      <w:r w:rsidR="00DB7EA2">
        <w:t xml:space="preserve">, </w:t>
      </w:r>
      <w:r w:rsidR="00936D9C">
        <w:t xml:space="preserve">at </w:t>
      </w:r>
      <w:r w:rsidR="00DB7EA2">
        <w:t>*25</w:t>
      </w:r>
      <w:r w:rsidR="008F013E">
        <w:t xml:space="preserve"> (S.D. Tex. Dec. 10, 2013) (“While the invoices may constitute some evidence of value, the invoices alone are insufficient to show that the amounts charged represent the reasonable value of the services and materials.”).</w:t>
      </w:r>
    </w:p>
  </w:footnote>
  <w:footnote w:id="57">
    <w:p w14:paraId="46D33249" w14:textId="79EAE027" w:rsidR="00FB2355" w:rsidRPr="00FB2355" w:rsidRDefault="00FB2355" w:rsidP="00F876E9">
      <w:pPr>
        <w:pStyle w:val="FootnoteText"/>
        <w:jc w:val="both"/>
      </w:pPr>
      <w:r>
        <w:rPr>
          <w:rStyle w:val="FootnoteReference"/>
        </w:rPr>
        <w:footnoteRef/>
      </w:r>
      <w:r>
        <w:t xml:space="preserve"> </w:t>
      </w:r>
      <w:r>
        <w:rPr>
          <w:i/>
          <w:iCs/>
        </w:rPr>
        <w:t>Air Conditioning, Inc. v. L.E. Travis &amp; Sons, Inc.</w:t>
      </w:r>
      <w:r>
        <w:t xml:space="preserve">, 578 S.W.2d 554, 556 (Tex. Civ. App. 1979) (“A claim in quantum meruit does not proceed upon the contract for the contract </w:t>
      </w:r>
      <w:proofErr w:type="gramStart"/>
      <w:r>
        <w:t>price, but</w:t>
      </w:r>
      <w:proofErr w:type="gramEnd"/>
      <w:r>
        <w:t xml:space="preserve"> proceeds independently of the contract to recover the value of the services rendered or materials furnished.”).</w:t>
      </w:r>
    </w:p>
  </w:footnote>
  <w:footnote w:id="58">
    <w:p w14:paraId="7C24A349" w14:textId="7F1D2D4E" w:rsidR="00FB2355" w:rsidRPr="00FB2355" w:rsidRDefault="00FB2355" w:rsidP="00F876E9">
      <w:pPr>
        <w:pStyle w:val="FootnoteText"/>
        <w:jc w:val="both"/>
      </w:pPr>
      <w:r>
        <w:rPr>
          <w:rStyle w:val="FootnoteReference"/>
        </w:rPr>
        <w:footnoteRef/>
      </w:r>
      <w:r>
        <w:t xml:space="preserve"> </w:t>
      </w:r>
      <w:r>
        <w:rPr>
          <w:i/>
          <w:iCs/>
        </w:rPr>
        <w:t>See, e.g., Diamond Servs. Corp., v. RLB Contracting, Inc.</w:t>
      </w:r>
      <w:r>
        <w:t xml:space="preserve">, 113 F.4th </w:t>
      </w:r>
      <w:r w:rsidR="00FD13E6">
        <w:t xml:space="preserve">430, 444 </w:t>
      </w:r>
      <w:r>
        <w:t>(5th Cir. 2024) (“Diamond’s reliance on the ‘contract price’ and ‘underlying contract’ to show its alleged damages dooms its quantum meruit claims under Texas law</w:t>
      </w:r>
      <w:r w:rsidR="00037B99">
        <w:t>[.]</w:t>
      </w:r>
      <w:r>
        <w:t xml:space="preserve">”); </w:t>
      </w:r>
      <w:r>
        <w:rPr>
          <w:i/>
          <w:iCs/>
        </w:rPr>
        <w:t>Brand Cos., LLC v. Bear Process Sols., Inc.</w:t>
      </w:r>
      <w:r>
        <w:t>, No. 05-17-00780-CV, 2018 Tex. App. LEXIS 6988, at *41 (Tex. App.—Dallas Aug. 29, 2018, no pet.) (reversing quantum meruit award where “[a]</w:t>
      </w:r>
      <w:proofErr w:type="spellStart"/>
      <w:r>
        <w:t>ll</w:t>
      </w:r>
      <w:proofErr w:type="spellEnd"/>
      <w:r>
        <w:t xml:space="preserve"> of the evidence pointed to by [the plaintiff] pertains to amounts set by the Subcontract, an impermissible measure of damages recoverable in quantum meruit.”). </w:t>
      </w:r>
    </w:p>
  </w:footnote>
  <w:footnote w:id="59">
    <w:p w14:paraId="4BC2C4E2" w14:textId="2D67653F" w:rsidR="00B838DE" w:rsidRPr="00B838DE" w:rsidRDefault="00B838DE" w:rsidP="00F876E9">
      <w:pPr>
        <w:pStyle w:val="FootnoteText"/>
        <w:jc w:val="both"/>
      </w:pPr>
      <w:r>
        <w:rPr>
          <w:rStyle w:val="FootnoteReference"/>
        </w:rPr>
        <w:footnoteRef/>
      </w:r>
      <w:r>
        <w:t xml:space="preserve"> </w:t>
      </w:r>
      <w:r>
        <w:rPr>
          <w:i/>
          <w:iCs/>
        </w:rPr>
        <w:t>Lott v. Brown</w:t>
      </w:r>
      <w:r>
        <w:t>, No. 12-17-00093-CV, 2018 Tex. App. LEXIS 9676</w:t>
      </w:r>
      <w:r w:rsidR="00755C6C">
        <w:t xml:space="preserve">, </w:t>
      </w:r>
      <w:r w:rsidR="00936D9C">
        <w:t xml:space="preserve">at </w:t>
      </w:r>
      <w:r w:rsidR="00755C6C">
        <w:t>*30 (Tex. App.—Tyler No</w:t>
      </w:r>
      <w:r w:rsidR="00FD13E6">
        <w:t>v</w:t>
      </w:r>
      <w:r w:rsidR="00755C6C">
        <w:t xml:space="preserve">. 28, </w:t>
      </w:r>
      <w:proofErr w:type="gramStart"/>
      <w:r w:rsidR="00755C6C">
        <w:t>2018</w:t>
      </w:r>
      <w:proofErr w:type="gramEnd"/>
      <w:r w:rsidR="00755C6C">
        <w:t xml:space="preserve"> no pet.) (“Even had Brown provided more detail, such measure of damages (percentage of completion of the full contract price) is derived from the agreement and would be based on breach of contract damages, which is not the appropriate measure of damages for quantum meruit.”); </w:t>
      </w:r>
      <w:r w:rsidR="00755C6C">
        <w:rPr>
          <w:i/>
          <w:iCs/>
        </w:rPr>
        <w:t>M.J. Sheridan &amp; Son Co. v. Seminole Pipeline Co.</w:t>
      </w:r>
      <w:r w:rsidR="00755C6C">
        <w:t xml:space="preserve">, 731 S.W.2d 620, 624 (Tex. App.—Houston [1st Dist.] 1987, no writ) (“Recovery on an express contract and on quantum meruit are inconsistent.”) (citing </w:t>
      </w:r>
      <w:r w:rsidR="00755C6C">
        <w:rPr>
          <w:i/>
          <w:iCs/>
        </w:rPr>
        <w:t>Woodward v. Southwest States, Inc.</w:t>
      </w:r>
      <w:r w:rsidR="00755C6C">
        <w:t>, 384 S.W.2d 674, 675 (Tex. 1964)).</w:t>
      </w:r>
    </w:p>
  </w:footnote>
  <w:footnote w:id="60">
    <w:p w14:paraId="3D23013B" w14:textId="1D600AAA" w:rsidR="00B908DC" w:rsidRDefault="00B908DC" w:rsidP="00F876E9">
      <w:pPr>
        <w:pStyle w:val="FootnoteText"/>
        <w:jc w:val="both"/>
      </w:pPr>
      <w:r>
        <w:rPr>
          <w:rStyle w:val="FootnoteReference"/>
        </w:rPr>
        <w:footnoteRef/>
      </w:r>
      <w:r>
        <w:t xml:space="preserve"> No. 01-18-00913-CV, 2022 Tex. App. LEXIS 5017,</w:t>
      </w:r>
      <w:r w:rsidR="00936D9C">
        <w:t xml:space="preserve"> at</w:t>
      </w:r>
      <w:r>
        <w:t xml:space="preserve"> </w:t>
      </w:r>
      <w:r w:rsidR="00FD13E6">
        <w:t>*</w:t>
      </w:r>
      <w:r>
        <w:t>*</w:t>
      </w:r>
      <w:r w:rsidR="00FD13E6">
        <w:t>31</w:t>
      </w:r>
      <w:r w:rsidR="00FD13E6" w:rsidRPr="00BE0DF5">
        <w:t>–</w:t>
      </w:r>
      <w:r>
        <w:t>33 (Tex. App.—Houston [1st Dist.] Jul</w:t>
      </w:r>
      <w:r w:rsidR="00FD13E6">
        <w:t>.</w:t>
      </w:r>
      <w:r>
        <w:t xml:space="preserve"> 21, 2022, no pet.)</w:t>
      </w:r>
      <w:r w:rsidR="003C57DF">
        <w:t>.</w:t>
      </w:r>
    </w:p>
  </w:footnote>
  <w:footnote w:id="61">
    <w:p w14:paraId="29107000" w14:textId="4A6E8052" w:rsidR="00B908DC" w:rsidRDefault="00B908DC" w:rsidP="00F876E9">
      <w:pPr>
        <w:pStyle w:val="FootnoteText"/>
        <w:jc w:val="both"/>
      </w:pPr>
      <w:r>
        <w:rPr>
          <w:rStyle w:val="FootnoteReference"/>
        </w:rPr>
        <w:footnoteRef/>
      </w:r>
      <w:r>
        <w:t xml:space="preserve"> </w:t>
      </w:r>
      <w:r w:rsidR="00A758B2">
        <w:rPr>
          <w:i/>
          <w:iCs/>
        </w:rPr>
        <w:t>Id</w:t>
      </w:r>
      <w:r>
        <w:t>.</w:t>
      </w:r>
    </w:p>
  </w:footnote>
  <w:footnote w:id="62">
    <w:p w14:paraId="2A8EA78F" w14:textId="3111D8F2" w:rsidR="00897200" w:rsidRPr="00A758B2" w:rsidRDefault="00897200" w:rsidP="00F876E9">
      <w:pPr>
        <w:pStyle w:val="FootnoteText"/>
        <w:jc w:val="both"/>
      </w:pPr>
      <w:r>
        <w:rPr>
          <w:rStyle w:val="FootnoteReference"/>
        </w:rPr>
        <w:footnoteRef/>
      </w:r>
      <w:r>
        <w:t xml:space="preserve"> </w:t>
      </w:r>
      <w:r w:rsidR="00A758B2">
        <w:rPr>
          <w:i/>
          <w:iCs/>
        </w:rPr>
        <w:t>Id</w:t>
      </w:r>
      <w:r w:rsidR="00A758B2" w:rsidRPr="00D2144E">
        <w:rPr>
          <w:i/>
          <w:iCs/>
        </w:rPr>
        <w:t>.</w:t>
      </w:r>
    </w:p>
  </w:footnote>
  <w:footnote w:id="63">
    <w:p w14:paraId="3014069F" w14:textId="6A0A3871" w:rsidR="00897200" w:rsidRPr="00BA2733" w:rsidRDefault="00897200" w:rsidP="00F876E9">
      <w:pPr>
        <w:spacing w:after="0"/>
        <w:jc w:val="both"/>
        <w:rPr>
          <w:sz w:val="20"/>
          <w:szCs w:val="20"/>
        </w:rPr>
      </w:pPr>
      <w:r w:rsidRPr="00897200">
        <w:rPr>
          <w:rStyle w:val="FootnoteReference"/>
          <w:sz w:val="20"/>
          <w:szCs w:val="20"/>
        </w:rPr>
        <w:footnoteRef/>
      </w:r>
      <w:r w:rsidRPr="00897200">
        <w:rPr>
          <w:sz w:val="20"/>
          <w:szCs w:val="20"/>
        </w:rPr>
        <w:t xml:space="preserve"> No. 05-18-01383-CV, 2020 Tex. App. LEXIS 772, </w:t>
      </w:r>
      <w:r w:rsidR="00936D9C">
        <w:rPr>
          <w:sz w:val="20"/>
          <w:szCs w:val="20"/>
        </w:rPr>
        <w:t xml:space="preserve">at </w:t>
      </w:r>
      <w:r w:rsidRPr="00897200">
        <w:rPr>
          <w:sz w:val="20"/>
          <w:szCs w:val="20"/>
        </w:rPr>
        <w:t>*</w:t>
      </w:r>
      <w:r w:rsidR="003C57DF">
        <w:rPr>
          <w:sz w:val="20"/>
          <w:szCs w:val="20"/>
        </w:rPr>
        <w:t>*16</w:t>
      </w:r>
      <w:r w:rsidR="003C57DF" w:rsidRPr="00BE0DF5">
        <w:t>–</w:t>
      </w:r>
      <w:r w:rsidRPr="00897200">
        <w:rPr>
          <w:sz w:val="20"/>
          <w:szCs w:val="20"/>
        </w:rPr>
        <w:t>17 (Tex. App.—Dallas Jan. 28, 2020</w:t>
      </w:r>
      <w:r w:rsidR="00936D9C">
        <w:rPr>
          <w:sz w:val="20"/>
          <w:szCs w:val="20"/>
        </w:rPr>
        <w:t>, no pet.</w:t>
      </w:r>
      <w:r w:rsidRPr="00897200">
        <w:rPr>
          <w:sz w:val="20"/>
          <w:szCs w:val="20"/>
        </w:rPr>
        <w:t>).</w:t>
      </w:r>
    </w:p>
  </w:footnote>
  <w:footnote w:id="64">
    <w:p w14:paraId="182F56B1" w14:textId="0C78F121" w:rsidR="00BA2733" w:rsidRPr="00685A24" w:rsidRDefault="00BA2733" w:rsidP="00F876E9">
      <w:pPr>
        <w:pStyle w:val="FootnoteText"/>
        <w:jc w:val="both"/>
      </w:pPr>
      <w:r>
        <w:rPr>
          <w:rStyle w:val="FootnoteReference"/>
        </w:rPr>
        <w:footnoteRef/>
      </w:r>
      <w:r>
        <w:t xml:space="preserve"> </w:t>
      </w:r>
      <w:r w:rsidR="00A758B2">
        <w:rPr>
          <w:i/>
          <w:iCs/>
        </w:rPr>
        <w:t>Id</w:t>
      </w:r>
      <w:r w:rsidR="00A758B2" w:rsidRPr="00D2144E">
        <w:rPr>
          <w:i/>
          <w:iCs/>
        </w:rPr>
        <w:t>.</w:t>
      </w:r>
    </w:p>
  </w:footnote>
  <w:footnote w:id="65">
    <w:p w14:paraId="62B07DAD" w14:textId="7DA0F45B" w:rsidR="00BA2733" w:rsidRDefault="00BA2733" w:rsidP="00F876E9">
      <w:pPr>
        <w:pStyle w:val="FootnoteText"/>
        <w:jc w:val="both"/>
      </w:pPr>
      <w:r>
        <w:rPr>
          <w:rStyle w:val="FootnoteReference"/>
        </w:rPr>
        <w:footnoteRef/>
      </w:r>
      <w:r>
        <w:t xml:space="preserve"> </w:t>
      </w:r>
      <w:r w:rsidR="00A60A03">
        <w:rPr>
          <w:i/>
          <w:iCs/>
        </w:rPr>
        <w:t>Id</w:t>
      </w:r>
      <w:r w:rsidR="00A60A03" w:rsidRPr="00D2144E">
        <w:rPr>
          <w:i/>
          <w:iCs/>
        </w:rPr>
        <w:t>.</w:t>
      </w:r>
      <w:r w:rsidRPr="00685A24">
        <w:t xml:space="preserve"> </w:t>
      </w:r>
      <w:r>
        <w:t>at *17.</w:t>
      </w:r>
    </w:p>
  </w:footnote>
  <w:footnote w:id="66">
    <w:p w14:paraId="04BC7D7A" w14:textId="1305EA2F" w:rsidR="00C8068F" w:rsidRDefault="00C8068F" w:rsidP="00F876E9">
      <w:pPr>
        <w:pStyle w:val="FootnoteText"/>
        <w:jc w:val="both"/>
      </w:pPr>
      <w:r>
        <w:rPr>
          <w:rStyle w:val="FootnoteReference"/>
        </w:rPr>
        <w:footnoteRef/>
      </w:r>
      <w:r>
        <w:t xml:space="preserve"> No. 01-97-01197-CV, 1998 Tex. App. LEXIS 6500, </w:t>
      </w:r>
      <w:r w:rsidR="00936D9C">
        <w:t xml:space="preserve">at </w:t>
      </w:r>
      <w:r>
        <w:t>*</w:t>
      </w:r>
      <w:r w:rsidR="003C57DF">
        <w:t>*9</w:t>
      </w:r>
      <w:r w:rsidR="003C57DF" w:rsidRPr="00BE0DF5">
        <w:t>–</w:t>
      </w:r>
      <w:r>
        <w:t>11 (Tex. App.—Houston [1st Dist.] Oct. 15, 1998, no pet.).</w:t>
      </w:r>
    </w:p>
  </w:footnote>
  <w:footnote w:id="67">
    <w:p w14:paraId="4F586123" w14:textId="5DAF0573" w:rsidR="00C8068F" w:rsidRPr="00A60A03" w:rsidRDefault="00C8068F" w:rsidP="00F876E9">
      <w:pPr>
        <w:pStyle w:val="FootnoteText"/>
        <w:jc w:val="both"/>
      </w:pPr>
      <w:r>
        <w:rPr>
          <w:rStyle w:val="FootnoteReference"/>
        </w:rPr>
        <w:footnoteRef/>
      </w:r>
      <w:r>
        <w:t xml:space="preserve"> </w:t>
      </w:r>
      <w:r w:rsidR="00A60A03">
        <w:rPr>
          <w:i/>
          <w:iCs/>
        </w:rPr>
        <w:t>Id</w:t>
      </w:r>
      <w:r w:rsidR="00A60A03" w:rsidRPr="00D2144E">
        <w:rPr>
          <w:i/>
          <w:iCs/>
        </w:rPr>
        <w:t>.</w:t>
      </w:r>
    </w:p>
  </w:footnote>
  <w:footnote w:id="68">
    <w:p w14:paraId="3C099621" w14:textId="1F4EDB8C" w:rsidR="00C8068F" w:rsidRPr="00A60A03" w:rsidRDefault="00C8068F" w:rsidP="00F876E9">
      <w:pPr>
        <w:pStyle w:val="FootnoteText"/>
        <w:jc w:val="both"/>
      </w:pPr>
      <w:r>
        <w:rPr>
          <w:rStyle w:val="FootnoteReference"/>
        </w:rPr>
        <w:footnoteRef/>
      </w:r>
      <w:r>
        <w:t xml:space="preserve"> </w:t>
      </w:r>
      <w:r w:rsidR="00A60A03">
        <w:rPr>
          <w:i/>
          <w:iCs/>
        </w:rPr>
        <w:t>Id</w:t>
      </w:r>
      <w:r w:rsidR="00A60A03" w:rsidRPr="00D2144E">
        <w:rPr>
          <w:i/>
          <w:iCs/>
        </w:rPr>
        <w:t>.</w:t>
      </w:r>
    </w:p>
  </w:footnote>
  <w:footnote w:id="69">
    <w:p w14:paraId="2A9F0D79" w14:textId="7CB35941" w:rsidR="008001E2" w:rsidRDefault="008001E2" w:rsidP="00F876E9">
      <w:pPr>
        <w:pStyle w:val="FootnoteText"/>
        <w:jc w:val="both"/>
      </w:pPr>
      <w:r>
        <w:rPr>
          <w:rStyle w:val="FootnoteReference"/>
        </w:rPr>
        <w:footnoteRef/>
      </w:r>
      <w:r>
        <w:t xml:space="preserve"> No. 14-00137-CV, 2015 Tex. App. LEXIS 12848, </w:t>
      </w:r>
      <w:r w:rsidR="00936D9C">
        <w:t xml:space="preserve">at </w:t>
      </w:r>
      <w:r>
        <w:t>*9 (Tex. App.—Houston [</w:t>
      </w:r>
      <w:r w:rsidR="00EE48F9">
        <w:t>14th Dist.] Dec. 22, 2015, no pet.).</w:t>
      </w:r>
    </w:p>
  </w:footnote>
  <w:footnote w:id="70">
    <w:p w14:paraId="47E4CB13" w14:textId="0D1C4E15" w:rsidR="008001E2" w:rsidRDefault="008001E2" w:rsidP="00F876E9">
      <w:pPr>
        <w:pStyle w:val="FootnoteText"/>
        <w:jc w:val="both"/>
      </w:pPr>
      <w:r>
        <w:rPr>
          <w:rStyle w:val="FootnoteReference"/>
        </w:rPr>
        <w:footnoteRef/>
      </w:r>
      <w:r>
        <w:t xml:space="preserve"> </w:t>
      </w:r>
      <w:r w:rsidR="00A60A03">
        <w:rPr>
          <w:i/>
          <w:iCs/>
        </w:rPr>
        <w:t>Id</w:t>
      </w:r>
      <w:r w:rsidR="00A60A03" w:rsidRPr="00D2144E">
        <w:rPr>
          <w:i/>
          <w:iCs/>
        </w:rPr>
        <w:t>.</w:t>
      </w:r>
    </w:p>
  </w:footnote>
  <w:footnote w:id="71">
    <w:p w14:paraId="0719F019" w14:textId="2B42A2B8" w:rsidR="00EE48F9" w:rsidRDefault="00EE48F9" w:rsidP="00F876E9">
      <w:pPr>
        <w:pStyle w:val="FootnoteText"/>
        <w:jc w:val="both"/>
      </w:pPr>
      <w:r>
        <w:rPr>
          <w:rStyle w:val="FootnoteReference"/>
        </w:rPr>
        <w:footnoteRef/>
      </w:r>
      <w:r>
        <w:t xml:space="preserve"> </w:t>
      </w:r>
      <w:r w:rsidR="00A60A03">
        <w:rPr>
          <w:i/>
          <w:iCs/>
        </w:rPr>
        <w:t>Id</w:t>
      </w:r>
      <w:r w:rsidR="00A60A03" w:rsidRPr="00D2144E">
        <w:rPr>
          <w:i/>
          <w:iCs/>
        </w:rPr>
        <w:t>.</w:t>
      </w:r>
      <w:r>
        <w:t xml:space="preserve"> at *10.</w:t>
      </w:r>
    </w:p>
  </w:footnote>
  <w:footnote w:id="72">
    <w:p w14:paraId="6EBD17AD" w14:textId="0885E305" w:rsidR="00EE48F9" w:rsidRDefault="00EE48F9" w:rsidP="00F876E9">
      <w:pPr>
        <w:pStyle w:val="FootnoteText"/>
        <w:jc w:val="both"/>
      </w:pPr>
      <w:r>
        <w:rPr>
          <w:rStyle w:val="FootnoteReference"/>
        </w:rPr>
        <w:footnoteRef/>
      </w:r>
      <w:r>
        <w:t xml:space="preserve"> </w:t>
      </w:r>
      <w:r w:rsidR="00A60A03">
        <w:rPr>
          <w:i/>
          <w:iCs/>
        </w:rPr>
        <w:t>Id</w:t>
      </w:r>
      <w:r w:rsidR="00A60A03" w:rsidRPr="00D2144E">
        <w:rPr>
          <w:i/>
          <w:iCs/>
        </w:rPr>
        <w:t>.</w:t>
      </w:r>
      <w:r w:rsidR="00A60A03">
        <w:rPr>
          <w:i/>
          <w:iCs/>
        </w:rPr>
        <w:t xml:space="preserve"> </w:t>
      </w:r>
      <w:r>
        <w:t>at **10</w:t>
      </w:r>
      <w:r w:rsidR="003C57DF" w:rsidRPr="00BE0DF5">
        <w:t>–</w:t>
      </w:r>
      <w:r>
        <w:t>11.</w:t>
      </w:r>
    </w:p>
  </w:footnote>
  <w:footnote w:id="73">
    <w:p w14:paraId="7808D8FA" w14:textId="6DCE287F" w:rsidR="00E367F9" w:rsidRDefault="00E367F9" w:rsidP="00F876E9">
      <w:pPr>
        <w:pStyle w:val="FootnoteText"/>
        <w:jc w:val="both"/>
      </w:pPr>
      <w:r>
        <w:rPr>
          <w:rStyle w:val="FootnoteReference"/>
        </w:rPr>
        <w:footnoteRef/>
      </w:r>
      <w:r>
        <w:t xml:space="preserve"> 2013 U.S. Dist. LEXIS</w:t>
      </w:r>
      <w:r w:rsidR="008600E1">
        <w:t xml:space="preserve"> 174929,</w:t>
      </w:r>
      <w:r>
        <w:t xml:space="preserve"> at *</w:t>
      </w:r>
      <w:r w:rsidR="008600E1">
        <w:t>*24</w:t>
      </w:r>
      <w:r w:rsidR="008600E1" w:rsidRPr="00BE0DF5">
        <w:t>–</w:t>
      </w:r>
      <w:r>
        <w:t>25.</w:t>
      </w:r>
    </w:p>
  </w:footnote>
  <w:footnote w:id="74">
    <w:p w14:paraId="2362BEBB" w14:textId="1A43F53F" w:rsidR="00E367F9" w:rsidRDefault="00E367F9" w:rsidP="00F876E9">
      <w:pPr>
        <w:pStyle w:val="FootnoteText"/>
        <w:jc w:val="both"/>
      </w:pPr>
      <w:r>
        <w:rPr>
          <w:rStyle w:val="FootnoteReference"/>
        </w:rPr>
        <w:footnoteRef/>
      </w:r>
      <w:r>
        <w:t xml:space="preserve"> </w:t>
      </w:r>
      <w:r w:rsidR="00A60A03">
        <w:rPr>
          <w:i/>
          <w:iCs/>
        </w:rPr>
        <w:t>Id</w:t>
      </w:r>
      <w:r w:rsidR="00A60A03" w:rsidRPr="00D2144E">
        <w:rPr>
          <w:i/>
          <w:iCs/>
        </w:rPr>
        <w:t>.</w:t>
      </w:r>
      <w:r w:rsidR="00A60A03">
        <w:rPr>
          <w:i/>
          <w:iCs/>
        </w:rPr>
        <w:t xml:space="preserve"> </w:t>
      </w:r>
      <w:r>
        <w:t>at *25.</w:t>
      </w:r>
    </w:p>
  </w:footnote>
  <w:footnote w:id="75">
    <w:p w14:paraId="5F20E06E" w14:textId="55046C90" w:rsidR="00E367F9" w:rsidRDefault="00E367F9" w:rsidP="00F876E9">
      <w:pPr>
        <w:pStyle w:val="FootnoteText"/>
        <w:jc w:val="both"/>
      </w:pPr>
      <w:r>
        <w:rPr>
          <w:rStyle w:val="FootnoteReference"/>
        </w:rPr>
        <w:footnoteRef/>
      </w:r>
      <w:r>
        <w:t xml:space="preserve"> </w:t>
      </w:r>
      <w:r w:rsidR="00A60A03">
        <w:rPr>
          <w:i/>
          <w:iCs/>
        </w:rPr>
        <w:t>Id</w:t>
      </w:r>
      <w:r w:rsidR="00A60A03" w:rsidRPr="00D2144E">
        <w:rPr>
          <w:i/>
          <w:iCs/>
        </w:rPr>
        <w:t>.</w:t>
      </w:r>
      <w:r>
        <w:t xml:space="preserve"> at *25.</w:t>
      </w:r>
    </w:p>
  </w:footnote>
  <w:footnote w:id="76">
    <w:p w14:paraId="5CFF1C53" w14:textId="3EEE73E0" w:rsidR="0044623C" w:rsidRDefault="0044623C" w:rsidP="00F876E9">
      <w:pPr>
        <w:pStyle w:val="FootnoteText"/>
        <w:jc w:val="both"/>
      </w:pPr>
      <w:r>
        <w:rPr>
          <w:rStyle w:val="FootnoteReference"/>
        </w:rPr>
        <w:footnoteRef/>
      </w:r>
      <w:r>
        <w:t xml:space="preserve"> 222 S.W.3d 918, 921 (Tex. App.—Dallas 2007, no pet.).</w:t>
      </w:r>
    </w:p>
  </w:footnote>
  <w:footnote w:id="77">
    <w:p w14:paraId="57E4E866" w14:textId="4DC72BA8" w:rsidR="0044623C" w:rsidRPr="00E11B0E" w:rsidRDefault="0044623C" w:rsidP="00F876E9">
      <w:pPr>
        <w:pStyle w:val="FootnoteText"/>
        <w:jc w:val="both"/>
      </w:pPr>
      <w:r>
        <w:rPr>
          <w:rStyle w:val="FootnoteReference"/>
        </w:rPr>
        <w:footnoteRef/>
      </w:r>
      <w:r>
        <w:t xml:space="preserve"> </w:t>
      </w:r>
      <w:r w:rsidR="00A60A03">
        <w:rPr>
          <w:i/>
          <w:iCs/>
        </w:rPr>
        <w:t>Id</w:t>
      </w:r>
      <w:r w:rsidR="00A60A03" w:rsidRPr="00D2144E">
        <w:rPr>
          <w:i/>
          <w:iCs/>
        </w:rPr>
        <w:t>.</w:t>
      </w:r>
    </w:p>
  </w:footnote>
  <w:footnote w:id="78">
    <w:p w14:paraId="4CE715C1" w14:textId="513E0870" w:rsidR="0044623C" w:rsidRDefault="0044623C" w:rsidP="00F876E9">
      <w:pPr>
        <w:pStyle w:val="FootnoteText"/>
        <w:jc w:val="both"/>
      </w:pPr>
      <w:r>
        <w:rPr>
          <w:rStyle w:val="FootnoteReference"/>
        </w:rPr>
        <w:footnoteRef/>
      </w:r>
      <w:r>
        <w:t xml:space="preserve"> </w:t>
      </w:r>
      <w:r w:rsidR="00A60A03">
        <w:rPr>
          <w:i/>
          <w:iCs/>
        </w:rPr>
        <w:t>Id</w:t>
      </w:r>
      <w:r w:rsidR="00A60A03" w:rsidRPr="00D2144E">
        <w:rPr>
          <w:i/>
          <w:iCs/>
        </w:rPr>
        <w:t>.</w:t>
      </w:r>
    </w:p>
  </w:footnote>
  <w:footnote w:id="79">
    <w:p w14:paraId="693CCA75" w14:textId="2EBF23A0" w:rsidR="00714CE8" w:rsidRPr="00714CE8" w:rsidRDefault="00714CE8" w:rsidP="00F876E9">
      <w:pPr>
        <w:pStyle w:val="FootnoteText"/>
        <w:jc w:val="both"/>
      </w:pPr>
      <w:r>
        <w:rPr>
          <w:rStyle w:val="FootnoteReference"/>
        </w:rPr>
        <w:footnoteRef/>
      </w:r>
      <w:r>
        <w:t xml:space="preserve"> </w:t>
      </w:r>
      <w:r w:rsidR="00A60A03">
        <w:rPr>
          <w:i/>
          <w:iCs/>
        </w:rPr>
        <w:t>Id</w:t>
      </w:r>
      <w:r w:rsidR="00A60A03" w:rsidRPr="00D2144E">
        <w:rPr>
          <w:i/>
          <w:iCs/>
        </w:rPr>
        <w:t>.</w:t>
      </w:r>
      <w:r w:rsidR="00A60A03">
        <w:rPr>
          <w:i/>
          <w:iCs/>
        </w:rPr>
        <w:t xml:space="preserve"> </w:t>
      </w:r>
      <w:r>
        <w:t xml:space="preserve">(citing </w:t>
      </w:r>
      <w:r>
        <w:rPr>
          <w:i/>
          <w:iCs/>
        </w:rPr>
        <w:t>Peko Oil USA v. Evans</w:t>
      </w:r>
      <w:r>
        <w:t>, 800 S.W.2d 572, 576 (Tex. App.—Dallas 1990, writ denied)).</w:t>
      </w:r>
    </w:p>
  </w:footnote>
  <w:footnote w:id="80">
    <w:p w14:paraId="567D1F70" w14:textId="07BC1D92" w:rsidR="00F870C6" w:rsidRPr="00F870C6" w:rsidRDefault="00F870C6" w:rsidP="00F876E9">
      <w:pPr>
        <w:pStyle w:val="FootnoteText"/>
        <w:jc w:val="both"/>
      </w:pPr>
      <w:r>
        <w:rPr>
          <w:rStyle w:val="FootnoteReference"/>
        </w:rPr>
        <w:footnoteRef/>
      </w:r>
      <w:r>
        <w:t xml:space="preserve"> </w:t>
      </w:r>
      <w:r>
        <w:rPr>
          <w:i/>
          <w:iCs/>
        </w:rPr>
        <w:t>See, e.g.</w:t>
      </w:r>
      <w:r>
        <w:t>,</w:t>
      </w:r>
      <w:r>
        <w:rPr>
          <w:i/>
          <w:iCs/>
        </w:rPr>
        <w:t xml:space="preserve"> Kelly</w:t>
      </w:r>
      <w:r>
        <w:t>, 2022 Tex. App. LEXIS 5017 at *33 (estimate provided by insurance company was deemed a reasonable basis for damage calculation).</w:t>
      </w:r>
    </w:p>
  </w:footnote>
  <w:footnote w:id="81">
    <w:p w14:paraId="3D55AAF9" w14:textId="612F534B" w:rsidR="004C2BBF" w:rsidRPr="004C2BBF" w:rsidRDefault="004C2BBF" w:rsidP="00F876E9">
      <w:pPr>
        <w:pStyle w:val="FootnoteText"/>
        <w:jc w:val="both"/>
      </w:pPr>
      <w:r>
        <w:rPr>
          <w:rStyle w:val="FootnoteReference"/>
        </w:rPr>
        <w:footnoteRef/>
      </w:r>
      <w:r>
        <w:t xml:space="preserve"> </w:t>
      </w:r>
      <w:proofErr w:type="spellStart"/>
      <w:r>
        <w:rPr>
          <w:i/>
          <w:iCs/>
        </w:rPr>
        <w:t>Cnty</w:t>
      </w:r>
      <w:proofErr w:type="spellEnd"/>
      <w:r>
        <w:rPr>
          <w:i/>
          <w:iCs/>
        </w:rPr>
        <w:t>. of Cook v. Harms</w:t>
      </w:r>
      <w:r>
        <w:t xml:space="preserve">, 108 Ill. 151, 158-59 (Ill. 1883). </w:t>
      </w:r>
    </w:p>
  </w:footnote>
  <w:footnote w:id="82">
    <w:p w14:paraId="00FB8C9E" w14:textId="1449220F" w:rsidR="004C2BBF" w:rsidRPr="004C2BBF" w:rsidRDefault="004C2BBF" w:rsidP="00F876E9">
      <w:pPr>
        <w:pStyle w:val="FootnoteText"/>
        <w:jc w:val="both"/>
      </w:pPr>
      <w:r>
        <w:rPr>
          <w:rStyle w:val="FootnoteReference"/>
        </w:rPr>
        <w:footnoteRef/>
      </w:r>
      <w:r>
        <w:t xml:space="preserve"> </w:t>
      </w:r>
      <w:r>
        <w:rPr>
          <w:i/>
          <w:iCs/>
        </w:rPr>
        <w:t>Salt Lake City v. Smith</w:t>
      </w:r>
      <w:r>
        <w:t>, 104 F. 457, 465-66 (8th Cir. 1900) (emphasis added).</w:t>
      </w:r>
    </w:p>
  </w:footnote>
  <w:footnote w:id="83">
    <w:p w14:paraId="58486DB6" w14:textId="74AC4BD6" w:rsidR="0017603D" w:rsidRPr="0017603D" w:rsidRDefault="0017603D" w:rsidP="00F876E9">
      <w:pPr>
        <w:pStyle w:val="FootnoteText"/>
        <w:jc w:val="both"/>
      </w:pPr>
      <w:r>
        <w:rPr>
          <w:rStyle w:val="FootnoteReference"/>
        </w:rPr>
        <w:footnoteRef/>
      </w:r>
      <w:r>
        <w:t xml:space="preserve"> 104 F. at 464.</w:t>
      </w:r>
    </w:p>
  </w:footnote>
  <w:footnote w:id="84">
    <w:p w14:paraId="47FCABB5" w14:textId="45E3CC55" w:rsidR="00284D2D" w:rsidRPr="0063298B" w:rsidRDefault="00284D2D" w:rsidP="00F876E9">
      <w:pPr>
        <w:pStyle w:val="FootnoteText"/>
        <w:jc w:val="both"/>
      </w:pPr>
      <w:r>
        <w:rPr>
          <w:rStyle w:val="FootnoteReference"/>
        </w:rPr>
        <w:footnoteRef/>
      </w:r>
      <w:r>
        <w:t xml:space="preserve"> </w:t>
      </w:r>
      <w:r w:rsidR="0063298B">
        <w:rPr>
          <w:i/>
          <w:iCs/>
        </w:rPr>
        <w:t>Id</w:t>
      </w:r>
      <w:r w:rsidR="0063298B" w:rsidRPr="00D2144E">
        <w:rPr>
          <w:i/>
          <w:iCs/>
        </w:rPr>
        <w:t>.</w:t>
      </w:r>
    </w:p>
  </w:footnote>
  <w:footnote w:id="85">
    <w:p w14:paraId="5B76D96C" w14:textId="6751BC18" w:rsidR="00CF2BB9" w:rsidRPr="00CF2BB9" w:rsidRDefault="00CF2BB9" w:rsidP="00F876E9">
      <w:pPr>
        <w:pStyle w:val="FootnoteText"/>
        <w:jc w:val="both"/>
      </w:pPr>
      <w:r>
        <w:rPr>
          <w:rStyle w:val="FootnoteReference"/>
        </w:rPr>
        <w:footnoteRef/>
      </w:r>
      <w:r>
        <w:t xml:space="preserve"> </w:t>
      </w:r>
      <w:r w:rsidR="00D43725">
        <w:t>84 Ct. Cl. 570,</w:t>
      </w:r>
      <w:r>
        <w:t xml:space="preserve"> </w:t>
      </w:r>
      <w:r w:rsidR="00BB15E0">
        <w:t>597–80 (Ct. Cl. 1937).</w:t>
      </w:r>
    </w:p>
  </w:footnote>
  <w:footnote w:id="86">
    <w:p w14:paraId="3C627D9C" w14:textId="20A0EEF3" w:rsidR="00CF2BB9" w:rsidRDefault="00CF2BB9" w:rsidP="00F876E9">
      <w:pPr>
        <w:pStyle w:val="FootnoteText"/>
        <w:jc w:val="both"/>
      </w:pPr>
      <w:r>
        <w:rPr>
          <w:rStyle w:val="FootnoteReference"/>
        </w:rPr>
        <w:footnoteRef/>
      </w:r>
      <w:r>
        <w:t xml:space="preserve"> </w:t>
      </w:r>
      <w:r w:rsidR="0063298B">
        <w:rPr>
          <w:i/>
          <w:iCs/>
        </w:rPr>
        <w:t>Id</w:t>
      </w:r>
      <w:r w:rsidR="0063298B" w:rsidRPr="00D2144E">
        <w:rPr>
          <w:i/>
          <w:iCs/>
        </w:rPr>
        <w:t>.</w:t>
      </w:r>
      <w:r w:rsidR="00BB15E0" w:rsidRPr="00685A24">
        <w:t xml:space="preserve"> </w:t>
      </w:r>
      <w:r w:rsidR="00BB15E0">
        <w:t xml:space="preserve">at 572. </w:t>
      </w:r>
    </w:p>
  </w:footnote>
  <w:footnote w:id="87">
    <w:p w14:paraId="41754083" w14:textId="45A9DEDA" w:rsidR="006513B3" w:rsidRDefault="006513B3" w:rsidP="00F876E9">
      <w:pPr>
        <w:pStyle w:val="FootnoteText"/>
        <w:jc w:val="both"/>
      </w:pPr>
      <w:r>
        <w:rPr>
          <w:rStyle w:val="FootnoteReference"/>
        </w:rPr>
        <w:footnoteRef/>
      </w:r>
      <w:r w:rsidR="00685A24">
        <w:rPr>
          <w:i/>
          <w:iCs/>
        </w:rPr>
        <w:t xml:space="preserve"> </w:t>
      </w:r>
      <w:r w:rsidR="0063298B">
        <w:rPr>
          <w:i/>
          <w:iCs/>
        </w:rPr>
        <w:t>Id</w:t>
      </w:r>
      <w:r w:rsidR="0063298B" w:rsidRPr="00D2144E">
        <w:rPr>
          <w:i/>
          <w:iCs/>
        </w:rPr>
        <w:t>.</w:t>
      </w:r>
      <w:r w:rsidRPr="00685A24">
        <w:t xml:space="preserve"> </w:t>
      </w:r>
      <w:r>
        <w:t xml:space="preserve">at 576; </w:t>
      </w:r>
      <w:r w:rsidR="00493C35">
        <w:t xml:space="preserve">CPI Inflation Calculator, U.S. Bureau of Labor Statistics, available at </w:t>
      </w:r>
      <w:hyperlink r:id="rId1" w:history="1">
        <w:r w:rsidR="00493C35" w:rsidRPr="001265FA">
          <w:rPr>
            <w:rStyle w:val="Hyperlink"/>
          </w:rPr>
          <w:t>https://www.bls.gov/data/</w:t>
        </w:r>
        <w:r w:rsidR="00493C35" w:rsidRPr="001265FA">
          <w:rPr>
            <w:rStyle w:val="Hyperlink"/>
          </w:rPr>
          <w:br/>
          <w:t>inflation_calculator.htm</w:t>
        </w:r>
      </w:hyperlink>
      <w:r w:rsidR="00493C35">
        <w:t xml:space="preserve"> (last accessed February 10, 2026)</w:t>
      </w:r>
      <w:r w:rsidR="00AB60C9" w:rsidRPr="00493C35">
        <w:t>.</w:t>
      </w:r>
      <w:r>
        <w:t xml:space="preserve"> </w:t>
      </w:r>
    </w:p>
  </w:footnote>
  <w:footnote w:id="88">
    <w:p w14:paraId="44BE3532" w14:textId="3AE0782B" w:rsidR="006513B3" w:rsidRDefault="006513B3" w:rsidP="00F876E9">
      <w:pPr>
        <w:pStyle w:val="FootnoteText"/>
        <w:jc w:val="both"/>
      </w:pPr>
      <w:r>
        <w:rPr>
          <w:rStyle w:val="FootnoteReference"/>
        </w:rPr>
        <w:footnoteRef/>
      </w:r>
      <w:r>
        <w:t xml:space="preserve"> </w:t>
      </w:r>
      <w:r w:rsidR="0063298B">
        <w:rPr>
          <w:i/>
          <w:iCs/>
        </w:rPr>
        <w:t>Id</w:t>
      </w:r>
      <w:r w:rsidR="0063298B" w:rsidRPr="00D2144E">
        <w:rPr>
          <w:i/>
          <w:iCs/>
        </w:rPr>
        <w:t>.</w:t>
      </w:r>
      <w:r>
        <w:t xml:space="preserve"> at 577.</w:t>
      </w:r>
    </w:p>
  </w:footnote>
  <w:footnote w:id="89">
    <w:p w14:paraId="490AD0D0" w14:textId="268D5A65" w:rsidR="009D17F4" w:rsidRDefault="009D17F4" w:rsidP="00F876E9">
      <w:pPr>
        <w:pStyle w:val="FootnoteText"/>
        <w:jc w:val="both"/>
      </w:pPr>
      <w:r>
        <w:rPr>
          <w:rStyle w:val="FootnoteReference"/>
        </w:rPr>
        <w:footnoteRef/>
      </w:r>
      <w:r>
        <w:t xml:space="preserve"> </w:t>
      </w:r>
      <w:r w:rsidR="0063298B">
        <w:rPr>
          <w:i/>
          <w:iCs/>
        </w:rPr>
        <w:t>Id</w:t>
      </w:r>
      <w:r w:rsidR="0063298B" w:rsidRPr="00D2144E">
        <w:rPr>
          <w:i/>
          <w:iCs/>
        </w:rPr>
        <w:t>.</w:t>
      </w:r>
      <w:r w:rsidR="0063298B">
        <w:t xml:space="preserve"> </w:t>
      </w:r>
      <w:r>
        <w:t>at 578.</w:t>
      </w:r>
    </w:p>
  </w:footnote>
  <w:footnote w:id="90">
    <w:p w14:paraId="4AC23F1A" w14:textId="70D9F60F" w:rsidR="00CE4B98" w:rsidRPr="00685A24" w:rsidRDefault="00CE4B98" w:rsidP="00F876E9">
      <w:pPr>
        <w:pStyle w:val="FootnoteText"/>
        <w:jc w:val="both"/>
      </w:pPr>
      <w:r>
        <w:rPr>
          <w:rStyle w:val="FootnoteReference"/>
        </w:rPr>
        <w:footnoteRef/>
      </w:r>
      <w:r>
        <w:t xml:space="preserve"> </w:t>
      </w:r>
      <w:r w:rsidR="0063298B">
        <w:rPr>
          <w:i/>
          <w:iCs/>
        </w:rPr>
        <w:t>Id</w:t>
      </w:r>
      <w:r w:rsidR="0063298B" w:rsidRPr="00D2144E">
        <w:rPr>
          <w:i/>
          <w:iCs/>
        </w:rPr>
        <w:t>.</w:t>
      </w:r>
    </w:p>
  </w:footnote>
  <w:footnote w:id="91">
    <w:p w14:paraId="3BE5D942" w14:textId="41A02C34" w:rsidR="0077343F" w:rsidRDefault="0077343F" w:rsidP="00F876E9">
      <w:pPr>
        <w:pStyle w:val="FootnoteText"/>
        <w:jc w:val="both"/>
      </w:pPr>
      <w:r>
        <w:rPr>
          <w:rStyle w:val="FootnoteReference"/>
        </w:rPr>
        <w:footnoteRef/>
      </w:r>
      <w:r>
        <w:t xml:space="preserve"> </w:t>
      </w:r>
      <w:r w:rsidR="0063298B">
        <w:rPr>
          <w:i/>
          <w:iCs/>
        </w:rPr>
        <w:t>Id</w:t>
      </w:r>
      <w:r w:rsidR="0063298B" w:rsidRPr="00D2144E">
        <w:rPr>
          <w:i/>
          <w:iCs/>
        </w:rPr>
        <w:t>.</w:t>
      </w:r>
      <w:r w:rsidR="0063298B">
        <w:t xml:space="preserve"> </w:t>
      </w:r>
      <w:r>
        <w:t>at 579 (emphasis added).</w:t>
      </w:r>
    </w:p>
  </w:footnote>
  <w:footnote w:id="92">
    <w:p w14:paraId="7AC9AD36" w14:textId="708E2F7D" w:rsidR="0077343F" w:rsidRPr="0063298B" w:rsidRDefault="0077343F" w:rsidP="00F876E9">
      <w:pPr>
        <w:pStyle w:val="FootnoteText"/>
        <w:jc w:val="both"/>
      </w:pPr>
      <w:r>
        <w:rPr>
          <w:rStyle w:val="FootnoteReference"/>
        </w:rPr>
        <w:footnoteRef/>
      </w:r>
      <w:r>
        <w:t xml:space="preserve"> </w:t>
      </w:r>
      <w:r w:rsidR="0063298B">
        <w:rPr>
          <w:i/>
          <w:iCs/>
        </w:rPr>
        <w:t>Id</w:t>
      </w:r>
      <w:r w:rsidR="0063298B" w:rsidRPr="00D2144E">
        <w:rPr>
          <w:i/>
          <w:iCs/>
        </w:rPr>
        <w:t xml:space="preserve">. </w:t>
      </w:r>
      <w:r w:rsidR="0063298B">
        <w:t>at 580.</w:t>
      </w:r>
    </w:p>
  </w:footnote>
  <w:footnote w:id="93">
    <w:p w14:paraId="52E21A32" w14:textId="1B3A975F" w:rsidR="0077343F" w:rsidRPr="00685A24" w:rsidRDefault="0077343F" w:rsidP="00F876E9">
      <w:pPr>
        <w:pStyle w:val="FootnoteText"/>
        <w:jc w:val="both"/>
      </w:pPr>
      <w:r>
        <w:rPr>
          <w:rStyle w:val="FootnoteReference"/>
        </w:rPr>
        <w:footnoteRef/>
      </w:r>
      <w:r>
        <w:t xml:space="preserve"> </w:t>
      </w:r>
      <w:r w:rsidR="0063298B">
        <w:rPr>
          <w:i/>
          <w:iCs/>
        </w:rPr>
        <w:t>Id</w:t>
      </w:r>
      <w:r w:rsidR="0063298B" w:rsidRPr="00D2144E">
        <w:rPr>
          <w:i/>
          <w:iCs/>
        </w:rPr>
        <w:t>.</w:t>
      </w:r>
    </w:p>
  </w:footnote>
  <w:footnote w:id="94">
    <w:p w14:paraId="130E38F3" w14:textId="11570723" w:rsidR="0077343F" w:rsidRPr="0077343F" w:rsidRDefault="0077343F" w:rsidP="00F876E9">
      <w:pPr>
        <w:pStyle w:val="FootnoteText"/>
        <w:jc w:val="both"/>
      </w:pPr>
      <w:r>
        <w:rPr>
          <w:rStyle w:val="FootnoteReference"/>
        </w:rPr>
        <w:footnoteRef/>
      </w:r>
      <w:r>
        <w:t xml:space="preserve"> </w:t>
      </w:r>
      <w:r w:rsidR="0063298B">
        <w:rPr>
          <w:i/>
          <w:iCs/>
        </w:rPr>
        <w:t>Id</w:t>
      </w:r>
      <w:r w:rsidR="0063298B" w:rsidRPr="00D2144E">
        <w:rPr>
          <w:i/>
          <w:iCs/>
        </w:rPr>
        <w:t>.</w:t>
      </w:r>
      <w:r w:rsidRPr="00685A24">
        <w:t xml:space="preserve"> </w:t>
      </w:r>
      <w:r>
        <w:t>(emphasis added).</w:t>
      </w:r>
    </w:p>
  </w:footnote>
  <w:footnote w:id="95">
    <w:p w14:paraId="24F7FD08" w14:textId="4FE47585" w:rsidR="0077343F" w:rsidRPr="00685A24" w:rsidRDefault="0077343F" w:rsidP="00F876E9">
      <w:pPr>
        <w:pStyle w:val="FootnoteText"/>
        <w:jc w:val="both"/>
      </w:pPr>
      <w:r>
        <w:rPr>
          <w:rStyle w:val="FootnoteReference"/>
        </w:rPr>
        <w:footnoteRef/>
      </w:r>
      <w:r>
        <w:t xml:space="preserve"> </w:t>
      </w:r>
      <w:r w:rsidR="0063298B">
        <w:rPr>
          <w:i/>
          <w:iCs/>
        </w:rPr>
        <w:t>Id</w:t>
      </w:r>
      <w:r w:rsidR="0063298B" w:rsidRPr="00D2144E">
        <w:rPr>
          <w:i/>
          <w:iCs/>
        </w:rPr>
        <w:t>.</w:t>
      </w:r>
    </w:p>
  </w:footnote>
  <w:footnote w:id="96">
    <w:p w14:paraId="1AD021E5" w14:textId="7EB9611C" w:rsidR="00B61F0D" w:rsidRDefault="00B61F0D" w:rsidP="00F876E9">
      <w:pPr>
        <w:pStyle w:val="FootnoteText"/>
        <w:jc w:val="both"/>
      </w:pPr>
      <w:r>
        <w:rPr>
          <w:rStyle w:val="FootnoteReference"/>
        </w:rPr>
        <w:footnoteRef/>
      </w:r>
      <w:r>
        <w:t xml:space="preserve"> </w:t>
      </w:r>
      <w:r w:rsidR="00C96B29">
        <w:t xml:space="preserve">A Lexis search for the term “cardinal change” suggests that, with one exception, no court other than the Court of Claims used the term between 1937 and 1975, and that the Court of Claims utilized the term in 25 other cases during that period. The obvious limitations of this methodology notwithstanding, it provides </w:t>
      </w:r>
      <w:r w:rsidR="006855B2">
        <w:t xml:space="preserve">a helpful survey of available case law. </w:t>
      </w:r>
    </w:p>
  </w:footnote>
  <w:footnote w:id="97">
    <w:p w14:paraId="7620DD30" w14:textId="7A080506" w:rsidR="00111968" w:rsidRDefault="00111968" w:rsidP="00F876E9">
      <w:pPr>
        <w:pStyle w:val="FootnoteText"/>
        <w:jc w:val="both"/>
      </w:pPr>
      <w:r>
        <w:rPr>
          <w:rStyle w:val="FootnoteReference"/>
        </w:rPr>
        <w:footnoteRef/>
      </w:r>
      <w:r>
        <w:t xml:space="preserve"> </w:t>
      </w:r>
      <w:r w:rsidR="004E265E">
        <w:t xml:space="preserve">48 C.F.R. § 52.243-4(a) </w:t>
      </w:r>
      <w:r>
        <w:t>(“The Contracting Officer may, at any time, without notice to the sureties, if any, by written order designated or indicated to be a change order, make changes to the work within the general scope of the contract</w:t>
      </w:r>
      <w:r w:rsidR="00796501">
        <w:t xml:space="preserve">[.]”). </w:t>
      </w:r>
      <w:r w:rsidR="007769A4">
        <w:t>Interestingly, the standard AIA A201—2017 contains a provision with similar language.</w:t>
      </w:r>
    </w:p>
  </w:footnote>
  <w:footnote w:id="98">
    <w:p w14:paraId="6D1A233F" w14:textId="20B5B3CA" w:rsidR="00937B2B" w:rsidRDefault="00937B2B" w:rsidP="008145C6">
      <w:pPr>
        <w:pStyle w:val="FootnoteText"/>
        <w:jc w:val="both"/>
      </w:pPr>
      <w:r>
        <w:rPr>
          <w:rStyle w:val="FootnoteReference"/>
        </w:rPr>
        <w:footnoteRef/>
      </w:r>
      <w:r>
        <w:t xml:space="preserve"> 533 P.2d 980</w:t>
      </w:r>
      <w:r w:rsidR="00BE0FF9">
        <w:t>, 983</w:t>
      </w:r>
      <w:r>
        <w:t xml:space="preserve"> (Okla. 1975).</w:t>
      </w:r>
    </w:p>
  </w:footnote>
  <w:footnote w:id="99">
    <w:p w14:paraId="110DC2ED" w14:textId="6F297E12" w:rsidR="001E2038" w:rsidRPr="0086193E" w:rsidRDefault="001E2038" w:rsidP="008145C6">
      <w:pPr>
        <w:pStyle w:val="FootnoteText"/>
        <w:jc w:val="both"/>
      </w:pPr>
      <w:r>
        <w:rPr>
          <w:rStyle w:val="FootnoteReference"/>
        </w:rPr>
        <w:footnoteRef/>
      </w:r>
      <w:r>
        <w:t xml:space="preserve"> </w:t>
      </w:r>
      <w:r>
        <w:rPr>
          <w:i/>
          <w:iCs/>
        </w:rPr>
        <w:t>See G.C.S., Inc. v. Foster Wheeler Corp.</w:t>
      </w:r>
      <w:r>
        <w:t xml:space="preserve">, 437 </w:t>
      </w:r>
      <w:proofErr w:type="spellStart"/>
      <w:r>
        <w:t>F.Supp</w:t>
      </w:r>
      <w:proofErr w:type="spellEnd"/>
      <w:r>
        <w:t>. 757, 761 (W.D. Penn. 1975) (</w:t>
      </w:r>
      <w:r w:rsidR="00A81B2E">
        <w:t>contractor estopped from claiming a change was beyond the scope of the contract when he accepted a change order he was “not obliged to accept</w:t>
      </w:r>
      <w:r w:rsidR="0086193E">
        <w:t>”</w:t>
      </w:r>
      <w:r w:rsidR="00A81B2E">
        <w:t>)</w:t>
      </w:r>
      <w:r w:rsidR="000F3C73">
        <w:t>.</w:t>
      </w:r>
      <w:r w:rsidR="00A81B2E">
        <w:t xml:space="preserve"> </w:t>
      </w:r>
    </w:p>
  </w:footnote>
  <w:footnote w:id="100">
    <w:p w14:paraId="2CAC082B" w14:textId="402C1E38" w:rsidR="0086193E" w:rsidRPr="0086193E" w:rsidRDefault="0086193E" w:rsidP="008145C6">
      <w:pPr>
        <w:pStyle w:val="FootnoteText"/>
        <w:jc w:val="both"/>
      </w:pPr>
      <w:r>
        <w:rPr>
          <w:rStyle w:val="FootnoteReference"/>
        </w:rPr>
        <w:footnoteRef/>
      </w:r>
      <w:r>
        <w:t xml:space="preserve"> </w:t>
      </w:r>
      <w:r>
        <w:rPr>
          <w:i/>
          <w:iCs/>
        </w:rPr>
        <w:t>See Westinghouse Elec. Corp. v. Garrett Corp.</w:t>
      </w:r>
      <w:r>
        <w:t>,</w:t>
      </w:r>
      <w:r>
        <w:rPr>
          <w:i/>
          <w:iCs/>
        </w:rPr>
        <w:t xml:space="preserve"> </w:t>
      </w:r>
      <w:r>
        <w:t xml:space="preserve">437 </w:t>
      </w:r>
      <w:proofErr w:type="spellStart"/>
      <w:r>
        <w:t>F.Supp</w:t>
      </w:r>
      <w:proofErr w:type="spellEnd"/>
      <w:r>
        <w:t>. 1301, 1331 (D. Md. 1977)</w:t>
      </w:r>
      <w:r w:rsidR="00E13F77">
        <w:t xml:space="preserve"> (</w:t>
      </w:r>
      <w:r w:rsidR="002B2437">
        <w:t xml:space="preserve">finding </w:t>
      </w:r>
      <w:r w:rsidR="00E13F77">
        <w:t xml:space="preserve">cardinal change where </w:t>
      </w:r>
      <w:r w:rsidR="002B2437">
        <w:t>contract only allowed contractor to unilaterally direct changes within “the</w:t>
      </w:r>
      <w:r w:rsidR="00E13F77">
        <w:t xml:space="preserve"> general scope of the contract”)</w:t>
      </w:r>
      <w:r>
        <w:t>.</w:t>
      </w:r>
    </w:p>
  </w:footnote>
  <w:footnote w:id="101">
    <w:p w14:paraId="49F452C6" w14:textId="75BF028E" w:rsidR="004E205E" w:rsidRPr="00224E0C" w:rsidRDefault="004E205E" w:rsidP="008145C6">
      <w:pPr>
        <w:pStyle w:val="FootnoteText"/>
        <w:jc w:val="both"/>
      </w:pPr>
      <w:r>
        <w:rPr>
          <w:rStyle w:val="FootnoteReference"/>
        </w:rPr>
        <w:footnoteRef/>
      </w:r>
      <w:r>
        <w:t xml:space="preserve"> </w:t>
      </w:r>
      <w:r>
        <w:rPr>
          <w:i/>
          <w:iCs/>
        </w:rPr>
        <w:t xml:space="preserve">See </w:t>
      </w:r>
      <w:r w:rsidR="00224E0C">
        <w:rPr>
          <w:i/>
          <w:iCs/>
        </w:rPr>
        <w:t>F.H. McGraw &amp; Co. v. New England Foundation Co.</w:t>
      </w:r>
      <w:r w:rsidR="00224E0C">
        <w:t>, 210 F.2d 62, 66 (1st Cir. 1954) (</w:t>
      </w:r>
      <w:r w:rsidR="00D23560">
        <w:t xml:space="preserve">“changes and additions” clause </w:t>
      </w:r>
      <w:r w:rsidR="000F3C73">
        <w:t xml:space="preserve">was “clearly applicable </w:t>
      </w:r>
      <w:r w:rsidR="007769A4">
        <w:t xml:space="preserve">only </w:t>
      </w:r>
      <w:r w:rsidR="000F3C73">
        <w:t>to those inadvertent errors or differences between careful and precise specifications and performance that will inevitably creep in where contracts involve vast amounts of labor and materials” and “d[id] not apply to a change of a substantial nature”).</w:t>
      </w:r>
    </w:p>
  </w:footnote>
  <w:footnote w:id="102">
    <w:p w14:paraId="77CD9898" w14:textId="024E1EEA" w:rsidR="000F3C73" w:rsidRPr="00246E7B" w:rsidRDefault="000F3C73" w:rsidP="008145C6">
      <w:pPr>
        <w:pStyle w:val="FootnoteText"/>
        <w:jc w:val="both"/>
      </w:pPr>
      <w:r>
        <w:rPr>
          <w:rStyle w:val="FootnoteReference"/>
        </w:rPr>
        <w:footnoteRef/>
      </w:r>
      <w:r>
        <w:t xml:space="preserve"> </w:t>
      </w:r>
      <w:r w:rsidR="00246E7B">
        <w:rPr>
          <w:i/>
          <w:iCs/>
        </w:rPr>
        <w:t xml:space="preserve">See </w:t>
      </w:r>
      <w:r>
        <w:rPr>
          <w:i/>
          <w:iCs/>
        </w:rPr>
        <w:t>Montrose Contracting Co. v. Westchester</w:t>
      </w:r>
      <w:r>
        <w:t>, 80 F.2d 841, 843 (2d. Cir. 1936) (“[T]he great desideratum is to ascertain the terms upon which the minds of the parties met and the sense in which they were used when the parties made the agreement.”);</w:t>
      </w:r>
      <w:r w:rsidR="00246E7B">
        <w:t xml:space="preserve"> </w:t>
      </w:r>
      <w:r w:rsidR="00246E7B">
        <w:rPr>
          <w:i/>
          <w:iCs/>
        </w:rPr>
        <w:t>Corp. of Charles Town v. Ligon</w:t>
      </w:r>
      <w:r w:rsidR="00246E7B">
        <w:t xml:space="preserve">, 67 F.2d 238, 242 (8th Cir. 1933) (contractor </w:t>
      </w:r>
      <w:r w:rsidR="003A4A35">
        <w:t>not entitled to additional compensation where changes to the</w:t>
      </w:r>
      <w:r w:rsidR="0096282A">
        <w:t xml:space="preserve"> work did not “</w:t>
      </w:r>
      <w:r w:rsidR="003A4A35">
        <w:t>radically alter</w:t>
      </w:r>
      <w:r w:rsidR="0096282A">
        <w:t>[]</w:t>
      </w:r>
      <w:r w:rsidR="003A4A35">
        <w:t xml:space="preserve"> the nature and cost of the work”). </w:t>
      </w:r>
    </w:p>
  </w:footnote>
  <w:footnote w:id="103">
    <w:p w14:paraId="6D82C83D" w14:textId="7A2562E8" w:rsidR="004E265E" w:rsidRDefault="004E265E" w:rsidP="0020013C">
      <w:pPr>
        <w:pStyle w:val="FootnoteText"/>
        <w:jc w:val="both"/>
      </w:pPr>
      <w:r>
        <w:rPr>
          <w:rStyle w:val="FootnoteReference"/>
        </w:rPr>
        <w:footnoteRef/>
      </w:r>
      <w:r>
        <w:t xml:space="preserve"> </w:t>
      </w:r>
      <w:r w:rsidRPr="0020013C">
        <w:rPr>
          <w:smallCaps/>
        </w:rPr>
        <w:t>Tex. Prop. Code</w:t>
      </w:r>
      <w:r>
        <w:t xml:space="preserve"> § 28.0091(a).</w:t>
      </w:r>
    </w:p>
  </w:footnote>
  <w:footnote w:id="104">
    <w:p w14:paraId="15BECA6C" w14:textId="3BD1E7F0" w:rsidR="007778F0" w:rsidRDefault="007778F0" w:rsidP="008145C6">
      <w:pPr>
        <w:pStyle w:val="FootnoteText"/>
        <w:jc w:val="both"/>
      </w:pPr>
      <w:r>
        <w:rPr>
          <w:rStyle w:val="FootnoteReference"/>
        </w:rPr>
        <w:footnoteRef/>
      </w:r>
      <w:r>
        <w:t xml:space="preserve"> </w:t>
      </w:r>
      <w:proofErr w:type="spellStart"/>
      <w:r>
        <w:rPr>
          <w:i/>
          <w:iCs/>
        </w:rPr>
        <w:t>Nat’l</w:t>
      </w:r>
      <w:proofErr w:type="spellEnd"/>
      <w:r>
        <w:rPr>
          <w:i/>
          <w:iCs/>
        </w:rPr>
        <w:t xml:space="preserve">. </w:t>
      </w:r>
      <w:proofErr w:type="spellStart"/>
      <w:r>
        <w:rPr>
          <w:i/>
          <w:iCs/>
        </w:rPr>
        <w:t>Env’tl</w:t>
      </w:r>
      <w:proofErr w:type="spellEnd"/>
      <w:r>
        <w:rPr>
          <w:i/>
          <w:iCs/>
        </w:rPr>
        <w:t>. Serv. Co. v. Homeplace Homes</w:t>
      </w:r>
      <w:r>
        <w:t>, 961 S.W.2d 632, 63</w:t>
      </w:r>
      <w:r w:rsidR="007769A4">
        <w:t>7</w:t>
      </w:r>
      <w:r>
        <w:t xml:space="preserve"> (Tex. App.—San Antonio 1998, no pet.).</w:t>
      </w:r>
    </w:p>
  </w:footnote>
  <w:footnote w:id="105">
    <w:p w14:paraId="536844DC" w14:textId="144B21C3" w:rsidR="007778F0" w:rsidRPr="008E1D08" w:rsidRDefault="007778F0" w:rsidP="00F876E9">
      <w:pPr>
        <w:pStyle w:val="FootnoteText"/>
        <w:jc w:val="both"/>
      </w:pPr>
      <w:r>
        <w:rPr>
          <w:rStyle w:val="FootnoteReference"/>
        </w:rPr>
        <w:footnoteRef/>
      </w:r>
      <w:r>
        <w:t xml:space="preserve"> </w:t>
      </w:r>
      <w:r w:rsidR="008E1D08">
        <w:rPr>
          <w:i/>
          <w:iCs/>
        </w:rPr>
        <w:t xml:space="preserve">Wood Group USA v. Targa </w:t>
      </w:r>
      <w:proofErr w:type="spellStart"/>
      <w:r w:rsidR="008E1D08">
        <w:rPr>
          <w:i/>
          <w:iCs/>
        </w:rPr>
        <w:t>Ngl</w:t>
      </w:r>
      <w:proofErr w:type="spellEnd"/>
      <w:r w:rsidR="008E1D08">
        <w:rPr>
          <w:i/>
          <w:iCs/>
        </w:rPr>
        <w:t xml:space="preserve"> Pipeline Co.</w:t>
      </w:r>
      <w:r w:rsidR="008E1D08">
        <w:t xml:space="preserve">, No. 01-21-00542, 2023 Tex. App. LEXIS 6306, </w:t>
      </w:r>
      <w:r w:rsidR="00936D9C">
        <w:t xml:space="preserve">at </w:t>
      </w:r>
      <w:r w:rsidR="008E1D08">
        <w:t>*47 n.7 (Tex. App.—Houston [1st Dist.] Aug. 17, 2023</w:t>
      </w:r>
      <w:r w:rsidR="0090246E">
        <w:t>, pet. denied</w:t>
      </w:r>
      <w:r w:rsidR="008E1D08">
        <w:t xml:space="preserve">). </w:t>
      </w:r>
    </w:p>
  </w:footnote>
  <w:footnote w:id="106">
    <w:p w14:paraId="034D75C4" w14:textId="27C0A8E5" w:rsidR="00857819" w:rsidRDefault="00857819" w:rsidP="00F876E9">
      <w:pPr>
        <w:pStyle w:val="FootnoteText"/>
        <w:jc w:val="both"/>
      </w:pPr>
      <w:r>
        <w:rPr>
          <w:rStyle w:val="FootnoteReference"/>
        </w:rPr>
        <w:footnoteRef/>
      </w:r>
      <w:r>
        <w:t xml:space="preserve"> 298 S.W. 273, 278 (Tex. 1927). </w:t>
      </w:r>
    </w:p>
  </w:footnote>
  <w:footnote w:id="107">
    <w:p w14:paraId="073C9E31" w14:textId="3BF46921" w:rsidR="00857819" w:rsidRDefault="00857819" w:rsidP="00F876E9">
      <w:pPr>
        <w:pStyle w:val="FootnoteText"/>
        <w:jc w:val="both"/>
      </w:pPr>
      <w:r>
        <w:rPr>
          <w:rStyle w:val="FootnoteReference"/>
        </w:rPr>
        <w:footnoteRef/>
      </w:r>
      <w:r>
        <w:t xml:space="preserve"> </w:t>
      </w:r>
      <w:r w:rsidR="0063298B">
        <w:rPr>
          <w:i/>
          <w:iCs/>
        </w:rPr>
        <w:t>Id</w:t>
      </w:r>
      <w:r w:rsidR="0063298B" w:rsidRPr="00D2144E">
        <w:rPr>
          <w:i/>
          <w:iCs/>
        </w:rPr>
        <w:t>.</w:t>
      </w:r>
      <w:r w:rsidR="0063298B" w:rsidRPr="00685A24">
        <w:t xml:space="preserve"> </w:t>
      </w:r>
      <w:r w:rsidR="0063298B">
        <w:t>at</w:t>
      </w:r>
      <w:r w:rsidR="00045C4E">
        <w:t xml:space="preserve"> 274.</w:t>
      </w:r>
    </w:p>
  </w:footnote>
  <w:footnote w:id="108">
    <w:p w14:paraId="3CD41D89" w14:textId="64DBA775" w:rsidR="00CD08AE" w:rsidRPr="00045C4E" w:rsidRDefault="00CD08AE" w:rsidP="00F876E9">
      <w:pPr>
        <w:pStyle w:val="FootnoteText"/>
        <w:jc w:val="both"/>
      </w:pPr>
      <w:r>
        <w:rPr>
          <w:rStyle w:val="FootnoteReference"/>
        </w:rPr>
        <w:footnoteRef/>
      </w:r>
      <w:r>
        <w:t xml:space="preserve"> </w:t>
      </w:r>
      <w:r w:rsidR="00045C4E">
        <w:rPr>
          <w:i/>
          <w:iCs/>
        </w:rPr>
        <w:t>Id</w:t>
      </w:r>
      <w:r w:rsidR="00045C4E" w:rsidRPr="00D2144E">
        <w:rPr>
          <w:i/>
          <w:iCs/>
        </w:rPr>
        <w:t>.</w:t>
      </w:r>
      <w:r w:rsidR="00045C4E">
        <w:t xml:space="preserve"> at 278.</w:t>
      </w:r>
    </w:p>
  </w:footnote>
  <w:footnote w:id="109">
    <w:p w14:paraId="259E5A41" w14:textId="1EA37A90" w:rsidR="00E913C4" w:rsidRPr="00045C4E" w:rsidRDefault="00E913C4" w:rsidP="00F876E9">
      <w:pPr>
        <w:pStyle w:val="FootnoteText"/>
        <w:jc w:val="both"/>
      </w:pPr>
      <w:r>
        <w:rPr>
          <w:rStyle w:val="FootnoteReference"/>
        </w:rPr>
        <w:footnoteRef/>
      </w:r>
      <w:r>
        <w:t xml:space="preserve"> </w:t>
      </w:r>
      <w:r w:rsidR="00045C4E">
        <w:rPr>
          <w:i/>
          <w:iCs/>
        </w:rPr>
        <w:t>Id</w:t>
      </w:r>
      <w:r w:rsidR="00045C4E" w:rsidRPr="00D2144E">
        <w:rPr>
          <w:i/>
          <w:iCs/>
        </w:rPr>
        <w:t>.</w:t>
      </w:r>
      <w:r w:rsidR="00045C4E">
        <w:rPr>
          <w:i/>
          <w:iCs/>
        </w:rPr>
        <w:t xml:space="preserve"> </w:t>
      </w:r>
    </w:p>
  </w:footnote>
  <w:footnote w:id="110">
    <w:p w14:paraId="7E9E6D73" w14:textId="76EA18E9" w:rsidR="001F674B" w:rsidRPr="00685A24" w:rsidRDefault="001F674B" w:rsidP="00F876E9">
      <w:pPr>
        <w:pStyle w:val="FootnoteText"/>
        <w:jc w:val="both"/>
      </w:pPr>
      <w:r>
        <w:rPr>
          <w:rStyle w:val="FootnoteReference"/>
        </w:rPr>
        <w:footnoteRef/>
      </w:r>
      <w:r>
        <w:t xml:space="preserve"> </w:t>
      </w:r>
      <w:r w:rsidR="00045C4E">
        <w:rPr>
          <w:i/>
          <w:iCs/>
        </w:rPr>
        <w:t>Id</w:t>
      </w:r>
      <w:r w:rsidR="00045C4E" w:rsidRPr="00D2144E">
        <w:rPr>
          <w:i/>
          <w:iCs/>
        </w:rPr>
        <w:t>.</w:t>
      </w:r>
    </w:p>
  </w:footnote>
  <w:footnote w:id="111">
    <w:p w14:paraId="6B90E230" w14:textId="00C4A37F" w:rsidR="001F674B" w:rsidRPr="00685A24" w:rsidRDefault="001F674B" w:rsidP="00F876E9">
      <w:pPr>
        <w:pStyle w:val="FootnoteText"/>
        <w:jc w:val="both"/>
      </w:pPr>
      <w:r>
        <w:rPr>
          <w:rStyle w:val="FootnoteReference"/>
        </w:rPr>
        <w:footnoteRef/>
      </w:r>
      <w:r>
        <w:t xml:space="preserve"> </w:t>
      </w:r>
      <w:r w:rsidR="006E1C59">
        <w:rPr>
          <w:i/>
          <w:iCs/>
        </w:rPr>
        <w:t>Id</w:t>
      </w:r>
      <w:r w:rsidR="006E1C59" w:rsidRPr="00D2144E">
        <w:rPr>
          <w:i/>
          <w:iCs/>
        </w:rPr>
        <w:t>.</w:t>
      </w:r>
    </w:p>
  </w:footnote>
  <w:footnote w:id="112">
    <w:p w14:paraId="6379657D" w14:textId="2AC5D1B7" w:rsidR="001F674B" w:rsidRPr="00685A24" w:rsidRDefault="001F674B" w:rsidP="00F876E9">
      <w:pPr>
        <w:pStyle w:val="FootnoteText"/>
        <w:jc w:val="both"/>
      </w:pPr>
      <w:r>
        <w:rPr>
          <w:rStyle w:val="FootnoteReference"/>
        </w:rPr>
        <w:footnoteRef/>
      </w:r>
      <w:r>
        <w:t xml:space="preserve"> </w:t>
      </w:r>
      <w:r w:rsidR="006E1C59">
        <w:rPr>
          <w:i/>
          <w:iCs/>
        </w:rPr>
        <w:t>Id</w:t>
      </w:r>
      <w:r w:rsidR="006E1C59" w:rsidRPr="00D2144E">
        <w:rPr>
          <w:i/>
          <w:iCs/>
        </w:rPr>
        <w:t>.</w:t>
      </w:r>
    </w:p>
  </w:footnote>
  <w:footnote w:id="113">
    <w:p w14:paraId="084159B2" w14:textId="57B5B53C" w:rsidR="001F674B" w:rsidRPr="00AE5E46" w:rsidRDefault="001F674B" w:rsidP="00F876E9">
      <w:pPr>
        <w:pStyle w:val="FootnoteText"/>
        <w:jc w:val="both"/>
      </w:pPr>
      <w:r>
        <w:rPr>
          <w:rStyle w:val="FootnoteReference"/>
        </w:rPr>
        <w:footnoteRef/>
      </w:r>
      <w:r>
        <w:t xml:space="preserve"> </w:t>
      </w:r>
      <w:r w:rsidR="006E1C59">
        <w:rPr>
          <w:i/>
          <w:iCs/>
        </w:rPr>
        <w:t>Id</w:t>
      </w:r>
      <w:r w:rsidR="006E1C59" w:rsidRPr="00D2144E">
        <w:rPr>
          <w:i/>
          <w:iCs/>
        </w:rPr>
        <w:t>.</w:t>
      </w:r>
    </w:p>
  </w:footnote>
  <w:footnote w:id="114">
    <w:p w14:paraId="0E17780E" w14:textId="7EBBC0D2" w:rsidR="001F674B" w:rsidRPr="006E1C59" w:rsidRDefault="001F674B" w:rsidP="00F876E9">
      <w:pPr>
        <w:pStyle w:val="FootnoteText"/>
        <w:jc w:val="both"/>
      </w:pPr>
      <w:r>
        <w:rPr>
          <w:rStyle w:val="FootnoteReference"/>
        </w:rPr>
        <w:footnoteRef/>
      </w:r>
      <w:r>
        <w:t xml:space="preserve"> </w:t>
      </w:r>
      <w:r w:rsidR="006E1C59">
        <w:rPr>
          <w:i/>
          <w:iCs/>
        </w:rPr>
        <w:t>Id</w:t>
      </w:r>
      <w:r w:rsidR="006E1C59" w:rsidRPr="00D2144E">
        <w:rPr>
          <w:i/>
          <w:iCs/>
        </w:rPr>
        <w:t>.</w:t>
      </w:r>
      <w:r w:rsidR="006E1C59">
        <w:t xml:space="preserve"> at 279</w:t>
      </w:r>
      <w:r w:rsidR="00AE5E46">
        <w:t xml:space="preserve"> (emphasis original).</w:t>
      </w:r>
    </w:p>
  </w:footnote>
  <w:footnote w:id="115">
    <w:p w14:paraId="1D24F8E8" w14:textId="65B9526C" w:rsidR="00E94678" w:rsidRPr="006E1C59" w:rsidRDefault="00E94678" w:rsidP="00F876E9">
      <w:pPr>
        <w:pStyle w:val="FootnoteText"/>
        <w:jc w:val="both"/>
      </w:pPr>
      <w:r>
        <w:rPr>
          <w:rStyle w:val="FootnoteReference"/>
        </w:rPr>
        <w:footnoteRef/>
      </w:r>
      <w:r>
        <w:t xml:space="preserve"> </w:t>
      </w:r>
      <w:r w:rsidR="006E1C59">
        <w:rPr>
          <w:i/>
          <w:iCs/>
        </w:rPr>
        <w:t>Id</w:t>
      </w:r>
      <w:r w:rsidR="006E1C59" w:rsidRPr="00D2144E">
        <w:rPr>
          <w:i/>
          <w:iCs/>
        </w:rPr>
        <w:t>.</w:t>
      </w:r>
      <w:r w:rsidR="006E1C59">
        <w:t xml:space="preserve"> at 280.</w:t>
      </w:r>
    </w:p>
  </w:footnote>
  <w:footnote w:id="116">
    <w:p w14:paraId="1785F151" w14:textId="03E121F1" w:rsidR="0086107C" w:rsidRPr="00EF425F" w:rsidRDefault="0086107C" w:rsidP="00F876E9">
      <w:pPr>
        <w:pStyle w:val="FootnoteText"/>
        <w:jc w:val="both"/>
      </w:pPr>
      <w:r>
        <w:rPr>
          <w:rStyle w:val="FootnoteReference"/>
        </w:rPr>
        <w:footnoteRef/>
      </w:r>
      <w:r>
        <w:t xml:space="preserve"> </w:t>
      </w:r>
      <w:r w:rsidR="00EF425F">
        <w:rPr>
          <w:i/>
          <w:iCs/>
        </w:rPr>
        <w:t xml:space="preserve">See </w:t>
      </w:r>
      <w:r w:rsidR="00EF425F">
        <w:t xml:space="preserve">Appellant’s Brief at 53, </w:t>
      </w:r>
      <w:r w:rsidR="00EF425F">
        <w:rPr>
          <w:i/>
          <w:iCs/>
        </w:rPr>
        <w:t>Port of Houston of Auth</w:t>
      </w:r>
      <w:r w:rsidR="0081008C">
        <w:rPr>
          <w:i/>
          <w:iCs/>
        </w:rPr>
        <w:t>.</w:t>
      </w:r>
      <w:r w:rsidR="00EF425F">
        <w:rPr>
          <w:i/>
          <w:iCs/>
        </w:rPr>
        <w:t xml:space="preserve"> of Harris Cnty. v. Zachry Corp.</w:t>
      </w:r>
      <w:r w:rsidR="00EF425F">
        <w:t>, 377 S.W.3d 841 (Tex. App.—Houston [14th Dist.] 2012</w:t>
      </w:r>
      <w:r w:rsidR="0081008C">
        <w:t>, pet. granted</w:t>
      </w:r>
      <w:r w:rsidR="00EF425F">
        <w:t xml:space="preserve">), </w:t>
      </w:r>
      <w:r w:rsidR="00EF425F">
        <w:rPr>
          <w:i/>
          <w:iCs/>
        </w:rPr>
        <w:t>rev’d</w:t>
      </w:r>
      <w:r w:rsidR="00EF425F">
        <w:t xml:space="preserve">, </w:t>
      </w:r>
      <w:r w:rsidR="00EF425F">
        <w:rPr>
          <w:i/>
          <w:iCs/>
        </w:rPr>
        <w:t xml:space="preserve">Zachry Constr. Corp. v Port of Houston Auth. Of Haris </w:t>
      </w:r>
      <w:proofErr w:type="spellStart"/>
      <w:r w:rsidR="00EF425F">
        <w:rPr>
          <w:i/>
          <w:iCs/>
        </w:rPr>
        <w:t>Cnty</w:t>
      </w:r>
      <w:proofErr w:type="spellEnd"/>
      <w:r w:rsidR="00EF425F">
        <w:rPr>
          <w:i/>
          <w:iCs/>
        </w:rPr>
        <w:t>.</w:t>
      </w:r>
      <w:r w:rsidR="00EF425F">
        <w:t>, 449 S.W.3d 98, 101 (Tex. 2014), No. 14-10-00708-CV (arguing the trial court erred in invalidating a contractual provision “under the ‘radical change’ rule”).</w:t>
      </w:r>
      <w:r w:rsidR="00EF425F">
        <w:rPr>
          <w:i/>
          <w:iCs/>
        </w:rPr>
        <w:t xml:space="preserve"> </w:t>
      </w:r>
    </w:p>
  </w:footnote>
  <w:footnote w:id="117">
    <w:p w14:paraId="14E08944" w14:textId="6142B264" w:rsidR="00855EDA" w:rsidRDefault="00855EDA" w:rsidP="00F876E9">
      <w:pPr>
        <w:pStyle w:val="FootnoteText"/>
        <w:jc w:val="both"/>
      </w:pPr>
      <w:r>
        <w:rPr>
          <w:rStyle w:val="FootnoteReference"/>
        </w:rPr>
        <w:footnoteRef/>
      </w:r>
      <w:r>
        <w:t xml:space="preserve"> </w:t>
      </w:r>
      <w:r w:rsidR="0081008C">
        <w:t xml:space="preserve">377 S.W.3d at </w:t>
      </w:r>
      <w:r w:rsidR="00BF0D52">
        <w:t>865.</w:t>
      </w:r>
    </w:p>
  </w:footnote>
  <w:footnote w:id="118">
    <w:p w14:paraId="6A2E9DDB" w14:textId="69BB1C4F" w:rsidR="00DA0DD3" w:rsidRDefault="00DA0DD3" w:rsidP="00F876E9">
      <w:pPr>
        <w:pStyle w:val="FootnoteText"/>
        <w:jc w:val="both"/>
      </w:pPr>
      <w:r>
        <w:rPr>
          <w:rStyle w:val="FootnoteReference"/>
        </w:rPr>
        <w:footnoteRef/>
      </w:r>
      <w:r>
        <w:t xml:space="preserve"> </w:t>
      </w:r>
      <w:r w:rsidR="00F862D1">
        <w:t xml:space="preserve">Findings of Fact and Conclusions of Law at 1–2, </w:t>
      </w:r>
      <w:r w:rsidR="00F862D1">
        <w:rPr>
          <w:i/>
          <w:iCs/>
        </w:rPr>
        <w:t>Spitzer Indus., Inc. v. Weatherford U.S., L.P.</w:t>
      </w:r>
      <w:r w:rsidR="00F862D1">
        <w:t>, No. 2014-02648 (80th Dist. Ct, Harris Cnty</w:t>
      </w:r>
      <w:r>
        <w:t>.</w:t>
      </w:r>
      <w:r w:rsidR="00F862D1">
        <w:t>, Tex. Sep. 2, 2016).</w:t>
      </w:r>
      <w:r>
        <w:t xml:space="preserve"> </w:t>
      </w:r>
    </w:p>
  </w:footnote>
  <w:footnote w:id="119">
    <w:p w14:paraId="681DBE51" w14:textId="7803D608" w:rsidR="00747E0C" w:rsidRDefault="00747E0C" w:rsidP="00F876E9">
      <w:pPr>
        <w:pStyle w:val="FootnoteText"/>
        <w:jc w:val="both"/>
      </w:pPr>
      <w:r>
        <w:rPr>
          <w:rStyle w:val="FootnoteReference"/>
        </w:rPr>
        <w:footnoteRef/>
      </w:r>
      <w:r>
        <w:t xml:space="preserve"> </w:t>
      </w:r>
      <w:r w:rsidR="00F862D1">
        <w:rPr>
          <w:i/>
          <w:iCs/>
        </w:rPr>
        <w:t>Id</w:t>
      </w:r>
      <w:r w:rsidR="00F862D1" w:rsidRPr="00D2144E">
        <w:rPr>
          <w:i/>
          <w:iCs/>
        </w:rPr>
        <w:t>.</w:t>
      </w:r>
      <w:r w:rsidR="00F862D1" w:rsidRPr="004D0EBE">
        <w:t xml:space="preserve"> </w:t>
      </w:r>
      <w:r w:rsidR="00F862D1">
        <w:t>at</w:t>
      </w:r>
      <w:r w:rsidR="00E14B48">
        <w:t xml:space="preserve"> 5–6</w:t>
      </w:r>
      <w:r w:rsidR="00F862D1">
        <w:t>.</w:t>
      </w:r>
    </w:p>
  </w:footnote>
  <w:footnote w:id="120">
    <w:p w14:paraId="1026D83A" w14:textId="07C9A5B0" w:rsidR="00E14B48" w:rsidRPr="00F862D1" w:rsidRDefault="00E14B48" w:rsidP="00F876E9">
      <w:pPr>
        <w:pStyle w:val="FootnoteText"/>
        <w:jc w:val="both"/>
      </w:pPr>
      <w:r>
        <w:rPr>
          <w:rStyle w:val="FootnoteReference"/>
        </w:rPr>
        <w:footnoteRef/>
      </w:r>
      <w:r>
        <w:t xml:space="preserve"> </w:t>
      </w:r>
      <w:r w:rsidR="00F862D1">
        <w:rPr>
          <w:i/>
          <w:iCs/>
        </w:rPr>
        <w:t>Id</w:t>
      </w:r>
      <w:r w:rsidR="00F862D1" w:rsidRPr="00D2144E">
        <w:rPr>
          <w:i/>
          <w:iCs/>
        </w:rPr>
        <w:t>.</w:t>
      </w:r>
      <w:r w:rsidR="00F862D1" w:rsidRPr="004D0EBE">
        <w:t xml:space="preserve"> </w:t>
      </w:r>
    </w:p>
  </w:footnote>
  <w:footnote w:id="121">
    <w:p w14:paraId="5C808576" w14:textId="6A6BA6F2" w:rsidR="00F862D1" w:rsidRPr="004D0EBE" w:rsidRDefault="00F862D1" w:rsidP="00F876E9">
      <w:pPr>
        <w:pStyle w:val="FootnoteText"/>
        <w:jc w:val="both"/>
      </w:pPr>
      <w:r>
        <w:rPr>
          <w:rStyle w:val="FootnoteReference"/>
        </w:rPr>
        <w:footnoteRef/>
      </w:r>
      <w:r>
        <w:t xml:space="preserve"> </w:t>
      </w:r>
      <w:r w:rsidR="001B6C9E" w:rsidRPr="006E1C59">
        <w:rPr>
          <w:i/>
          <w:iCs/>
        </w:rPr>
        <w:t>Id</w:t>
      </w:r>
      <w:r w:rsidR="001B6C9E" w:rsidRPr="00D2144E">
        <w:rPr>
          <w:i/>
          <w:iCs/>
        </w:rPr>
        <w:t>.</w:t>
      </w:r>
    </w:p>
  </w:footnote>
  <w:footnote w:id="122">
    <w:p w14:paraId="10FB602D" w14:textId="3EF076D8" w:rsidR="00F862D1" w:rsidRDefault="00F862D1" w:rsidP="00F876E9">
      <w:pPr>
        <w:pStyle w:val="FootnoteText"/>
        <w:jc w:val="both"/>
      </w:pPr>
      <w:r w:rsidRPr="006E1C59">
        <w:rPr>
          <w:rStyle w:val="FootnoteReference"/>
        </w:rPr>
        <w:footnoteRef/>
      </w:r>
      <w:r w:rsidRPr="006E1C59">
        <w:t xml:space="preserve"> </w:t>
      </w:r>
      <w:r w:rsidR="001B6C9E" w:rsidRPr="006E1C59">
        <w:rPr>
          <w:i/>
          <w:iCs/>
        </w:rPr>
        <w:t>Id</w:t>
      </w:r>
      <w:r w:rsidR="001B6C9E" w:rsidRPr="00D2144E">
        <w:rPr>
          <w:i/>
          <w:iCs/>
        </w:rPr>
        <w:t>.</w:t>
      </w:r>
    </w:p>
  </w:footnote>
  <w:footnote w:id="123">
    <w:p w14:paraId="2523326B" w14:textId="41A1F13B" w:rsidR="00F862D1" w:rsidRPr="006E1C59" w:rsidRDefault="00F862D1" w:rsidP="00F876E9">
      <w:pPr>
        <w:pStyle w:val="FootnoteText"/>
        <w:jc w:val="both"/>
      </w:pPr>
      <w:r>
        <w:rPr>
          <w:rStyle w:val="FootnoteReference"/>
        </w:rPr>
        <w:footnoteRef/>
      </w:r>
      <w:r>
        <w:t xml:space="preserve"> </w:t>
      </w:r>
      <w:r w:rsidR="001B6C9E" w:rsidRPr="006E1C59">
        <w:t xml:space="preserve">Plaintiff’s </w:t>
      </w:r>
      <w:r w:rsidR="006E1C59" w:rsidRPr="006E1C59">
        <w:t xml:space="preserve">Second </w:t>
      </w:r>
      <w:r w:rsidR="001B6C9E" w:rsidRPr="006E1C59">
        <w:t xml:space="preserve">Amended Petition at </w:t>
      </w:r>
      <w:r w:rsidR="006E1C59" w:rsidRPr="006E1C59">
        <w:t>13</w:t>
      </w:r>
      <w:r w:rsidR="00BE0DF5" w:rsidRPr="00BE0DF5">
        <w:t>–</w:t>
      </w:r>
      <w:r w:rsidR="006E1C59" w:rsidRPr="006E1C59">
        <w:t>14</w:t>
      </w:r>
      <w:r w:rsidR="001B6C9E" w:rsidRPr="006E1C59">
        <w:t>,</w:t>
      </w:r>
      <w:r w:rsidR="001B6C9E" w:rsidRPr="006E1C59">
        <w:rPr>
          <w:i/>
          <w:iCs/>
        </w:rPr>
        <w:t xml:space="preserve"> Spitzer Indus., Inc. v. Weatherford U.S., L.P.</w:t>
      </w:r>
      <w:r w:rsidR="001B6C9E" w:rsidRPr="006E1C59">
        <w:t>, No. 2014-02648 (80th Dist. Ct</w:t>
      </w:r>
      <w:r w:rsidR="006248C2">
        <w:t>.</w:t>
      </w:r>
      <w:r w:rsidR="001B6C9E" w:rsidRPr="006E1C59">
        <w:t xml:space="preserve">, Harris Cnty., Tex. Sep. </w:t>
      </w:r>
      <w:r w:rsidR="00532579">
        <w:t>25</w:t>
      </w:r>
      <w:r w:rsidR="001B6C9E" w:rsidRPr="006E1C59">
        <w:t>, 201</w:t>
      </w:r>
      <w:r w:rsidR="00532579">
        <w:t>5</w:t>
      </w:r>
      <w:r w:rsidR="001B6C9E" w:rsidRPr="006E1C59">
        <w:t>).</w:t>
      </w:r>
    </w:p>
  </w:footnote>
  <w:footnote w:id="124">
    <w:p w14:paraId="511997B0" w14:textId="24FEBE26" w:rsidR="00F862D1" w:rsidRPr="001B6C9E" w:rsidRDefault="00F862D1" w:rsidP="00F876E9">
      <w:pPr>
        <w:pStyle w:val="FootnoteText"/>
        <w:jc w:val="both"/>
      </w:pPr>
      <w:r w:rsidRPr="006E1C59">
        <w:rPr>
          <w:rStyle w:val="FootnoteReference"/>
        </w:rPr>
        <w:footnoteRef/>
      </w:r>
      <w:r w:rsidRPr="006E1C59">
        <w:t xml:space="preserve"> </w:t>
      </w:r>
      <w:r w:rsidR="001B6C9E" w:rsidRPr="006E1C59">
        <w:rPr>
          <w:i/>
          <w:iCs/>
        </w:rPr>
        <w:t>Id</w:t>
      </w:r>
      <w:r w:rsidR="001B6C9E" w:rsidRPr="00D2144E">
        <w:rPr>
          <w:i/>
          <w:iCs/>
        </w:rPr>
        <w:t>.</w:t>
      </w:r>
      <w:r w:rsidR="001B6C9E" w:rsidRPr="004D0EBE">
        <w:t xml:space="preserve"> </w:t>
      </w:r>
    </w:p>
  </w:footnote>
  <w:footnote w:id="125">
    <w:p w14:paraId="47B689B8" w14:textId="6F5F9182" w:rsidR="00F862D1" w:rsidRDefault="00F862D1" w:rsidP="00F876E9">
      <w:pPr>
        <w:pStyle w:val="FootnoteText"/>
        <w:jc w:val="both"/>
      </w:pPr>
      <w:r>
        <w:rPr>
          <w:rStyle w:val="FootnoteReference"/>
        </w:rPr>
        <w:footnoteRef/>
      </w:r>
      <w:r>
        <w:t xml:space="preserve"> Findings of Fact and Conclusions of Law at 7, </w:t>
      </w:r>
      <w:r>
        <w:rPr>
          <w:i/>
          <w:iCs/>
        </w:rPr>
        <w:t>Spitzer Indus., Inc. v. Weatherford U.S., L.P.</w:t>
      </w:r>
      <w:r>
        <w:t>, No. 2014-02648 (80th Dist. Ct</w:t>
      </w:r>
      <w:r w:rsidR="006248C2">
        <w:t>.</w:t>
      </w:r>
      <w:r>
        <w:t>, Harris Cnty., Tex. Sep. 2, 2016).</w:t>
      </w:r>
    </w:p>
  </w:footnote>
  <w:footnote w:id="126">
    <w:p w14:paraId="7958224E" w14:textId="5CE4D895" w:rsidR="00F862D1" w:rsidRPr="00F862D1" w:rsidRDefault="00F862D1" w:rsidP="00F876E9">
      <w:pPr>
        <w:pStyle w:val="FootnoteText"/>
        <w:jc w:val="both"/>
      </w:pPr>
      <w:r>
        <w:rPr>
          <w:rStyle w:val="FootnoteReference"/>
        </w:rPr>
        <w:footnoteRef/>
      </w:r>
      <w:r>
        <w:t xml:space="preserve"> </w:t>
      </w:r>
      <w:r>
        <w:rPr>
          <w:i/>
          <w:iCs/>
        </w:rPr>
        <w:t xml:space="preserve">Id. </w:t>
      </w:r>
      <w:r>
        <w:t>at 9.</w:t>
      </w:r>
    </w:p>
  </w:footnote>
  <w:footnote w:id="127">
    <w:p w14:paraId="3B6B111E" w14:textId="5D7502A5" w:rsidR="00F862D1" w:rsidRPr="00F862D1" w:rsidRDefault="00F862D1" w:rsidP="00F876E9">
      <w:pPr>
        <w:pStyle w:val="FootnoteText"/>
        <w:jc w:val="both"/>
      </w:pPr>
      <w:r>
        <w:rPr>
          <w:rStyle w:val="FootnoteReference"/>
        </w:rPr>
        <w:footnoteRef/>
      </w:r>
      <w:r>
        <w:t xml:space="preserve"> </w:t>
      </w:r>
      <w:r>
        <w:rPr>
          <w:i/>
          <w:iCs/>
        </w:rPr>
        <w:t>Id.</w:t>
      </w:r>
    </w:p>
  </w:footnote>
  <w:footnote w:id="128">
    <w:p w14:paraId="4D7D1D82" w14:textId="2B10D9B2" w:rsidR="00F862D1" w:rsidRPr="00F862D1" w:rsidRDefault="00F862D1" w:rsidP="00F876E9">
      <w:pPr>
        <w:pStyle w:val="FootnoteText"/>
        <w:jc w:val="both"/>
      </w:pPr>
      <w:r>
        <w:rPr>
          <w:rStyle w:val="FootnoteReference"/>
        </w:rPr>
        <w:footnoteRef/>
      </w:r>
      <w:r>
        <w:t xml:space="preserve"> </w:t>
      </w:r>
      <w:r>
        <w:rPr>
          <w:i/>
          <w:iCs/>
        </w:rPr>
        <w:t>Id.</w:t>
      </w:r>
      <w:r>
        <w:t xml:space="preserve"> at 9–10.</w:t>
      </w:r>
    </w:p>
  </w:footnote>
  <w:footnote w:id="129">
    <w:p w14:paraId="7AA49A00" w14:textId="0F759E91" w:rsidR="00F862D1" w:rsidRPr="00F862D1" w:rsidRDefault="00F862D1" w:rsidP="00F876E9">
      <w:pPr>
        <w:pStyle w:val="FootnoteText"/>
        <w:jc w:val="both"/>
      </w:pPr>
      <w:r>
        <w:rPr>
          <w:rStyle w:val="FootnoteReference"/>
        </w:rPr>
        <w:footnoteRef/>
      </w:r>
      <w:r>
        <w:t xml:space="preserve"> </w:t>
      </w:r>
      <w:r>
        <w:rPr>
          <w:i/>
          <w:iCs/>
        </w:rPr>
        <w:t xml:space="preserve">Id. </w:t>
      </w:r>
      <w:r>
        <w:t>at 10.</w:t>
      </w:r>
    </w:p>
  </w:footnote>
  <w:footnote w:id="130">
    <w:p w14:paraId="6D46B514" w14:textId="20661CEB" w:rsidR="00F862D1" w:rsidRPr="00F862D1" w:rsidRDefault="00F862D1" w:rsidP="00F876E9">
      <w:pPr>
        <w:pStyle w:val="FootnoteText"/>
        <w:jc w:val="both"/>
      </w:pPr>
      <w:r>
        <w:rPr>
          <w:rStyle w:val="FootnoteReference"/>
        </w:rPr>
        <w:footnoteRef/>
      </w:r>
      <w:r>
        <w:t xml:space="preserve"> </w:t>
      </w:r>
      <w:r>
        <w:rPr>
          <w:i/>
          <w:iCs/>
        </w:rPr>
        <w:t>Id.</w:t>
      </w:r>
    </w:p>
  </w:footnote>
  <w:footnote w:id="131">
    <w:p w14:paraId="4F1DD505" w14:textId="234A1D94" w:rsidR="00F862D1" w:rsidRPr="00F862D1" w:rsidRDefault="00F862D1" w:rsidP="00F876E9">
      <w:pPr>
        <w:pStyle w:val="FootnoteText"/>
        <w:jc w:val="both"/>
      </w:pPr>
      <w:r>
        <w:rPr>
          <w:rStyle w:val="FootnoteReference"/>
        </w:rPr>
        <w:footnoteRef/>
      </w:r>
      <w:r>
        <w:t xml:space="preserve"> </w:t>
      </w:r>
      <w:r>
        <w:rPr>
          <w:i/>
          <w:iCs/>
        </w:rPr>
        <w:t xml:space="preserve">Id. </w:t>
      </w:r>
      <w:r>
        <w:t>at 12–13.</w:t>
      </w:r>
    </w:p>
  </w:footnote>
  <w:footnote w:id="132">
    <w:p w14:paraId="4766D8B8" w14:textId="3F856EC6" w:rsidR="004F6762" w:rsidRDefault="004F6762" w:rsidP="00F876E9">
      <w:pPr>
        <w:pStyle w:val="FootnoteText"/>
        <w:jc w:val="both"/>
      </w:pPr>
      <w:r>
        <w:rPr>
          <w:rStyle w:val="FootnoteReference"/>
        </w:rPr>
        <w:footnoteRef/>
      </w:r>
      <w:r>
        <w:t xml:space="preserve"> Appellant’s Brief at </w:t>
      </w:r>
      <w:r w:rsidR="006E1C59">
        <w:t>77</w:t>
      </w:r>
      <w:r>
        <w:t xml:space="preserve">, </w:t>
      </w:r>
      <w:r>
        <w:rPr>
          <w:i/>
          <w:iCs/>
        </w:rPr>
        <w:t>Weatherford U.S., L.P. v. Spitzer Indus.</w:t>
      </w:r>
      <w:r>
        <w:t>, No. 01-16-00889-CV, 2017 Tex. App. LEXIS 10908 (Tex. App.—Houston [1st Dist.] Nov. 21, 2017, no pet.).</w:t>
      </w:r>
    </w:p>
  </w:footnote>
  <w:footnote w:id="133">
    <w:p w14:paraId="4CEA89A7" w14:textId="1B9C2C75" w:rsidR="004F6762" w:rsidRPr="004F6762" w:rsidRDefault="004F6762" w:rsidP="00F876E9">
      <w:pPr>
        <w:pStyle w:val="FootnoteText"/>
        <w:jc w:val="both"/>
      </w:pPr>
      <w:r>
        <w:rPr>
          <w:rStyle w:val="FootnoteReference"/>
        </w:rPr>
        <w:footnoteRef/>
      </w:r>
      <w:r>
        <w:t xml:space="preserve"> </w:t>
      </w:r>
      <w:r>
        <w:rPr>
          <w:i/>
          <w:iCs/>
        </w:rPr>
        <w:t xml:space="preserve">Id. </w:t>
      </w:r>
      <w:r>
        <w:t xml:space="preserve">at </w:t>
      </w:r>
      <w:r w:rsidR="006E1C59">
        <w:t>66</w:t>
      </w:r>
      <w:r w:rsidR="00AE2B09">
        <w:t>–</w:t>
      </w:r>
      <w:r w:rsidR="006E1C59">
        <w:t>67.</w:t>
      </w:r>
    </w:p>
  </w:footnote>
  <w:footnote w:id="134">
    <w:p w14:paraId="3FCA550F" w14:textId="3C5AEAB8" w:rsidR="00A75F97" w:rsidRPr="00390AC2" w:rsidRDefault="00A75F97" w:rsidP="00A114DB">
      <w:pPr>
        <w:pStyle w:val="FootnoteText"/>
        <w:jc w:val="both"/>
      </w:pPr>
      <w:r>
        <w:rPr>
          <w:rStyle w:val="FootnoteReference"/>
        </w:rPr>
        <w:footnoteRef/>
      </w:r>
      <w:r>
        <w:t xml:space="preserve"> </w:t>
      </w:r>
      <w:r w:rsidR="004F6762">
        <w:t xml:space="preserve">Appellee’s Brief at </w:t>
      </w:r>
      <w:r w:rsidR="006E1C59">
        <w:t>70</w:t>
      </w:r>
      <w:r w:rsidR="00DE5110">
        <w:t>–</w:t>
      </w:r>
      <w:r w:rsidR="006E1C59">
        <w:t>71</w:t>
      </w:r>
      <w:r w:rsidR="004F6762">
        <w:t xml:space="preserve">, </w:t>
      </w:r>
      <w:r w:rsidR="004F6762">
        <w:rPr>
          <w:i/>
          <w:iCs/>
        </w:rPr>
        <w:t>Weatherford U.S., L.P. v. Spitzer Indus.</w:t>
      </w:r>
      <w:r w:rsidR="004F6762">
        <w:t xml:space="preserve">, No. 01-16-00889-CV, 2017 Tex. App. LEXIS 10908 (Tex. App.—Houston [1st Dist.] Nov. 21, 2017, no pet.). (citing </w:t>
      </w:r>
      <w:r w:rsidR="004F6762">
        <w:rPr>
          <w:i/>
          <w:iCs/>
        </w:rPr>
        <w:t xml:space="preserve">Homeplace, </w:t>
      </w:r>
      <w:r w:rsidR="004F6762" w:rsidRPr="004F6762">
        <w:rPr>
          <w:i/>
          <w:iCs/>
        </w:rPr>
        <w:t>Homes</w:t>
      </w:r>
      <w:r w:rsidR="004F6762">
        <w:t>, 961 S.W.2d</w:t>
      </w:r>
      <w:r w:rsidR="004F6762" w:rsidRPr="004F6762">
        <w:t xml:space="preserve"> </w:t>
      </w:r>
      <w:r w:rsidR="004F6762">
        <w:t xml:space="preserve">at 634; </w:t>
      </w:r>
      <w:r w:rsidR="004F6762">
        <w:rPr>
          <w:i/>
          <w:iCs/>
        </w:rPr>
        <w:t>Bd. of Regents v. S. &amp; G. Constr. Co.</w:t>
      </w:r>
      <w:r w:rsidR="004F6762">
        <w:t xml:space="preserve">, </w:t>
      </w:r>
      <w:r w:rsidRPr="004F6762">
        <w:t xml:space="preserve">529 </w:t>
      </w:r>
      <w:r>
        <w:t xml:space="preserve">S.W.2d </w:t>
      </w:r>
      <w:r w:rsidR="004F6762">
        <w:t>at</w:t>
      </w:r>
      <w:r>
        <w:t xml:space="preserve"> </w:t>
      </w:r>
      <w:r w:rsidR="00390AC2">
        <w:t>93–95</w:t>
      </w:r>
      <w:r>
        <w:t xml:space="preserve"> (Tex. App.—Austin 1975, writ ref’d.), </w:t>
      </w:r>
      <w:r w:rsidR="007C0506">
        <w:rPr>
          <w:i/>
          <w:iCs/>
        </w:rPr>
        <w:t>overruled on other groun</w:t>
      </w:r>
      <w:r w:rsidR="00390AC2">
        <w:rPr>
          <w:i/>
          <w:iCs/>
        </w:rPr>
        <w:t>ds by Fed. Sign v. Texas S. Univ.</w:t>
      </w:r>
      <w:r w:rsidR="00390AC2">
        <w:t>, 951 S.W.2d 401 (Tex. 1997</w:t>
      </w:r>
      <w:r w:rsidR="004F6762">
        <w:t>))</w:t>
      </w:r>
      <w:r w:rsidR="00390AC2">
        <w:t>.</w:t>
      </w:r>
    </w:p>
  </w:footnote>
  <w:footnote w:id="135">
    <w:p w14:paraId="4E5FEAB6" w14:textId="4B4A03D6" w:rsidR="00C95361" w:rsidRPr="00481612" w:rsidRDefault="00C95361" w:rsidP="00A114DB">
      <w:pPr>
        <w:pStyle w:val="FootnoteText"/>
        <w:jc w:val="both"/>
      </w:pPr>
      <w:r>
        <w:rPr>
          <w:rStyle w:val="FootnoteReference"/>
        </w:rPr>
        <w:footnoteRef/>
      </w:r>
      <w:r>
        <w:t xml:space="preserve"> </w:t>
      </w:r>
      <w:r w:rsidR="00481612">
        <w:rPr>
          <w:i/>
          <w:iCs/>
        </w:rPr>
        <w:t>Weatherford U.S., L.P. v. Spitzer Indus.</w:t>
      </w:r>
      <w:r w:rsidR="00481612">
        <w:t xml:space="preserve">, </w:t>
      </w:r>
      <w:r w:rsidR="00AE2B09">
        <w:t xml:space="preserve">No. 01-16-00889-CV, </w:t>
      </w:r>
      <w:r w:rsidR="00481612">
        <w:t xml:space="preserve">2017 Tex. App. LEXIS 10908, </w:t>
      </w:r>
      <w:r w:rsidR="00936D9C">
        <w:t xml:space="preserve">at </w:t>
      </w:r>
      <w:r w:rsidR="00481612">
        <w:t>*1 (Tex. App.—Houston [1st Dist.] Nov. 21, 2017, no pet.) (dismissing appeal on appellant’s motion).</w:t>
      </w:r>
    </w:p>
  </w:footnote>
  <w:footnote w:id="136">
    <w:p w14:paraId="6E630238" w14:textId="437E73A2" w:rsidR="00C95361" w:rsidRDefault="00C95361" w:rsidP="00A114DB">
      <w:pPr>
        <w:pStyle w:val="FootnoteText"/>
        <w:jc w:val="both"/>
      </w:pPr>
      <w:r>
        <w:rPr>
          <w:rStyle w:val="FootnoteReference"/>
        </w:rPr>
        <w:footnoteRef/>
      </w:r>
      <w:r>
        <w:t xml:space="preserve"> For lack of a better term. </w:t>
      </w:r>
    </w:p>
  </w:footnote>
  <w:footnote w:id="137">
    <w:p w14:paraId="4EA60BB2" w14:textId="755DEE26" w:rsidR="00B60D85" w:rsidRPr="00AB61D3" w:rsidRDefault="00B60D85" w:rsidP="0020013C">
      <w:pPr>
        <w:pStyle w:val="FootnoteText"/>
        <w:jc w:val="both"/>
      </w:pPr>
      <w:r>
        <w:rPr>
          <w:rStyle w:val="FootnoteReference"/>
        </w:rPr>
        <w:footnoteRef/>
      </w:r>
      <w:r>
        <w:t xml:space="preserve"> </w:t>
      </w:r>
      <w:r w:rsidR="00AB61D3">
        <w:rPr>
          <w:i/>
          <w:iCs/>
        </w:rPr>
        <w:t xml:space="preserve">Supre </w:t>
      </w:r>
      <w:r w:rsidR="00AB61D3">
        <w:t>notes 99 and 100.</w:t>
      </w:r>
    </w:p>
  </w:footnote>
  <w:footnote w:id="138">
    <w:p w14:paraId="37AB0BB8" w14:textId="46C5B6C8" w:rsidR="00AB61D3" w:rsidRPr="0020013C" w:rsidRDefault="00AB61D3" w:rsidP="0020013C">
      <w:pPr>
        <w:pStyle w:val="FootnoteText"/>
        <w:jc w:val="both"/>
        <w:rPr>
          <w:smallCaps/>
        </w:rPr>
      </w:pPr>
      <w:r>
        <w:rPr>
          <w:rStyle w:val="FootnoteReference"/>
        </w:rPr>
        <w:footnoteRef/>
      </w:r>
      <w:r>
        <w:t xml:space="preserve"> </w:t>
      </w:r>
      <w:r>
        <w:rPr>
          <w:smallCaps/>
        </w:rPr>
        <w:t>Tex. Prop. Code § 28.0091.</w:t>
      </w:r>
    </w:p>
  </w:footnote>
  <w:footnote w:id="139">
    <w:p w14:paraId="307CFFEB" w14:textId="77777777" w:rsidR="0011417E" w:rsidRDefault="0011417E" w:rsidP="00A114DB">
      <w:pPr>
        <w:pStyle w:val="FootnoteText"/>
        <w:jc w:val="both"/>
      </w:pPr>
      <w:r>
        <w:rPr>
          <w:rStyle w:val="FootnoteReference"/>
        </w:rPr>
        <w:footnoteRef/>
      </w:r>
      <w:r>
        <w:t xml:space="preserve"> </w:t>
      </w:r>
      <w:r>
        <w:rPr>
          <w:smallCaps/>
        </w:rPr>
        <w:t xml:space="preserve">Timothy D. Matheny, How Many Changes are Too Many Changes? 5–8 (2024). </w:t>
      </w:r>
      <w:r>
        <w:t>Stormy Mayfield and Brian Carroll also contributed to Mr. Matheny’s written materials.</w:t>
      </w:r>
    </w:p>
  </w:footnote>
  <w:footnote w:id="140">
    <w:p w14:paraId="7B588D20" w14:textId="757D9F92" w:rsidR="00AE2B09" w:rsidRDefault="00AE2B09" w:rsidP="0020013C">
      <w:pPr>
        <w:pStyle w:val="FootnoteText"/>
        <w:jc w:val="both"/>
      </w:pPr>
      <w:r>
        <w:rPr>
          <w:rStyle w:val="FootnoteReference"/>
        </w:rPr>
        <w:footnoteRef/>
      </w:r>
      <w:r>
        <w:t xml:space="preserve"> Findings of Fact and Conclusions of Law at 7, </w:t>
      </w:r>
      <w:r>
        <w:rPr>
          <w:i/>
          <w:iCs/>
        </w:rPr>
        <w:t>Spitzer Indus., Inc. v. Weatherford U.S., L.P.</w:t>
      </w:r>
      <w:r>
        <w:t>, No. 2014-02648 (80th Dist. Ct</w:t>
      </w:r>
      <w:r w:rsidR="006248C2">
        <w:t>.</w:t>
      </w:r>
      <w:r>
        <w:t>, Harris Cnty., Tex. Sep. 2, 2016).</w:t>
      </w:r>
    </w:p>
  </w:footnote>
  <w:footnote w:id="141">
    <w:p w14:paraId="06A3903B" w14:textId="51624CF5" w:rsidR="00D902BC" w:rsidRPr="002363EF" w:rsidRDefault="00D902BC" w:rsidP="00163E1B">
      <w:pPr>
        <w:pStyle w:val="FootnoteText"/>
        <w:jc w:val="both"/>
        <w:rPr>
          <w:i/>
          <w:iCs/>
        </w:rPr>
      </w:pPr>
      <w:r>
        <w:rPr>
          <w:rStyle w:val="FootnoteReference"/>
        </w:rPr>
        <w:footnoteRef/>
      </w:r>
      <w:r>
        <w:t xml:space="preserve"> </w:t>
      </w:r>
      <w:r>
        <w:rPr>
          <w:i/>
          <w:iCs/>
        </w:rPr>
        <w:t>Int’l Bus. Machines v. Lufkin Indus., LLC</w:t>
      </w:r>
      <w:r>
        <w:t>, 573 S.W.3d 224, 233 (Tex. 2019)</w:t>
      </w:r>
      <w:r w:rsidR="00E301BE">
        <w:t xml:space="preserve"> (quoting </w:t>
      </w:r>
      <w:r w:rsidR="00E301BE">
        <w:rPr>
          <w:i/>
          <w:iCs/>
        </w:rPr>
        <w:t>Anderson v. Durant</w:t>
      </w:r>
      <w:r w:rsidR="00E301BE">
        <w:t>, 550 S.W.3d 605, 61</w:t>
      </w:r>
      <w:r w:rsidR="00AE2B09">
        <w:t>4</w:t>
      </w:r>
      <w:r w:rsidR="00E301BE">
        <w:t xml:space="preserve"> (Tex. 2018</w:t>
      </w:r>
      <w:r w:rsidR="002363EF">
        <w:t>) (“Texas law has long imposed a duty to abstain from inducing another to enter into a contract through the use of fraudulent misrepresentations.”)).</w:t>
      </w:r>
    </w:p>
  </w:footnote>
  <w:footnote w:id="142">
    <w:p w14:paraId="4BE0D630" w14:textId="7A8D2A8A" w:rsidR="00D902BC" w:rsidRPr="00F01A53" w:rsidRDefault="00D902BC" w:rsidP="00F876E9">
      <w:pPr>
        <w:pStyle w:val="FootnoteText"/>
        <w:jc w:val="both"/>
      </w:pPr>
      <w:r>
        <w:rPr>
          <w:rStyle w:val="FootnoteReference"/>
        </w:rPr>
        <w:footnoteRef/>
      </w:r>
      <w:r>
        <w:t xml:space="preserve"> </w:t>
      </w:r>
      <w:r w:rsidR="0063298B">
        <w:rPr>
          <w:i/>
          <w:iCs/>
        </w:rPr>
        <w:t>Id.</w:t>
      </w:r>
      <w:r>
        <w:t xml:space="preserve"> at 2</w:t>
      </w:r>
      <w:r w:rsidR="00FA7359">
        <w:t>29</w:t>
      </w:r>
      <w:r>
        <w:t>.</w:t>
      </w:r>
    </w:p>
  </w:footnote>
  <w:footnote w:id="143">
    <w:p w14:paraId="0B85D678" w14:textId="7591AD6F" w:rsidR="00D902BC" w:rsidRPr="0063298B" w:rsidRDefault="00D902BC" w:rsidP="00022F4A">
      <w:pPr>
        <w:pStyle w:val="FootnoteText"/>
        <w:jc w:val="both"/>
      </w:pPr>
      <w:r>
        <w:rPr>
          <w:rStyle w:val="FootnoteReference"/>
        </w:rPr>
        <w:footnoteRef/>
      </w:r>
      <w:r>
        <w:t xml:space="preserve"> </w:t>
      </w:r>
      <w:r w:rsidR="0063298B">
        <w:rPr>
          <w:i/>
          <w:iCs/>
        </w:rPr>
        <w:t>Id</w:t>
      </w:r>
      <w:r w:rsidR="0063298B">
        <w:t>.</w:t>
      </w:r>
    </w:p>
  </w:footnote>
  <w:footnote w:id="144">
    <w:p w14:paraId="1B82A16A" w14:textId="63DFD6BD" w:rsidR="00E301BE" w:rsidRDefault="00E301BE" w:rsidP="00022F4A">
      <w:pPr>
        <w:pStyle w:val="FootnoteText"/>
        <w:jc w:val="both"/>
      </w:pPr>
      <w:r>
        <w:rPr>
          <w:rStyle w:val="FootnoteReference"/>
        </w:rPr>
        <w:footnoteRef/>
      </w:r>
      <w:r>
        <w:t xml:space="preserve"> </w:t>
      </w:r>
      <w:r w:rsidR="0063298B">
        <w:rPr>
          <w:i/>
          <w:iCs/>
        </w:rPr>
        <w:t>Id.</w:t>
      </w:r>
      <w:r w:rsidR="00FA7359">
        <w:t xml:space="preserve"> at 233. </w:t>
      </w:r>
    </w:p>
  </w:footnote>
  <w:footnote w:id="145">
    <w:p w14:paraId="52F70CFA" w14:textId="0C620565" w:rsidR="00FA7359" w:rsidRDefault="00FA7359" w:rsidP="00022F4A">
      <w:pPr>
        <w:pStyle w:val="FootnoteText"/>
        <w:jc w:val="both"/>
      </w:pPr>
      <w:r>
        <w:rPr>
          <w:rStyle w:val="FootnoteReference"/>
        </w:rPr>
        <w:footnoteRef/>
      </w:r>
      <w:r>
        <w:t xml:space="preserve"> </w:t>
      </w:r>
      <w:r w:rsidR="0063298B">
        <w:rPr>
          <w:i/>
          <w:iCs/>
        </w:rPr>
        <w:t>Id.</w:t>
      </w:r>
      <w:r>
        <w:t xml:space="preserve"> </w:t>
      </w:r>
    </w:p>
  </w:footnote>
  <w:footnote w:id="146">
    <w:p w14:paraId="7B533E9A" w14:textId="05DD7236" w:rsidR="007F4D89" w:rsidRPr="0063298B" w:rsidRDefault="007F4D89" w:rsidP="00022F4A">
      <w:pPr>
        <w:pStyle w:val="FootnoteText"/>
        <w:jc w:val="both"/>
      </w:pPr>
      <w:r>
        <w:rPr>
          <w:rStyle w:val="FootnoteReference"/>
        </w:rPr>
        <w:footnoteRef/>
      </w:r>
      <w:r>
        <w:t xml:space="preserve"> </w:t>
      </w:r>
      <w:r w:rsidR="0063298B">
        <w:rPr>
          <w:i/>
          <w:iCs/>
        </w:rPr>
        <w:t>Id.</w:t>
      </w:r>
    </w:p>
  </w:footnote>
  <w:footnote w:id="147">
    <w:p w14:paraId="5149222A" w14:textId="05D6062B" w:rsidR="00CE04D7" w:rsidRDefault="00CE04D7" w:rsidP="00022F4A">
      <w:pPr>
        <w:pStyle w:val="FootnoteText"/>
        <w:jc w:val="both"/>
      </w:pPr>
      <w:r>
        <w:rPr>
          <w:rStyle w:val="FootnoteReference"/>
        </w:rPr>
        <w:footnoteRef/>
      </w:r>
      <w:r>
        <w:t xml:space="preserve"> 960 S.W.2d 41, </w:t>
      </w:r>
      <w:r w:rsidR="002E0406">
        <w:t>47 (Tex. 1998).</w:t>
      </w:r>
    </w:p>
  </w:footnote>
  <w:footnote w:id="148">
    <w:p w14:paraId="7997C26A" w14:textId="59CBABC3" w:rsidR="00D21BB0" w:rsidRPr="0057642F" w:rsidRDefault="00D21BB0" w:rsidP="00022F4A">
      <w:pPr>
        <w:pStyle w:val="FootnoteText"/>
        <w:jc w:val="both"/>
      </w:pPr>
      <w:r>
        <w:rPr>
          <w:rStyle w:val="FootnoteReference"/>
        </w:rPr>
        <w:footnoteRef/>
      </w:r>
      <w:r>
        <w:t xml:space="preserve"> In some limited circumstances, a fraudulent inducement claim can arise when the defendant has a duty to disclose a material but does not. </w:t>
      </w:r>
      <w:r w:rsidR="0057642F">
        <w:rPr>
          <w:i/>
          <w:iCs/>
        </w:rPr>
        <w:t>Siddiqui v. Fancy Bites, LLC</w:t>
      </w:r>
      <w:r w:rsidR="0057642F">
        <w:t>, 504 S.W.3d 349, 369 (Tex. App.—Houston [14th Dist.] 2016, no pet.).</w:t>
      </w:r>
    </w:p>
  </w:footnote>
  <w:footnote w:id="149">
    <w:p w14:paraId="6A5ACDF6" w14:textId="57E6CE7C" w:rsidR="00C259DD" w:rsidRPr="00C259DD" w:rsidRDefault="00C259DD" w:rsidP="0020013C">
      <w:pPr>
        <w:pStyle w:val="FootnoteText"/>
        <w:jc w:val="both"/>
      </w:pPr>
      <w:r>
        <w:rPr>
          <w:rStyle w:val="FootnoteReference"/>
        </w:rPr>
        <w:footnoteRef/>
      </w:r>
      <w:r>
        <w:t xml:space="preserve"> </w:t>
      </w:r>
      <w:r>
        <w:rPr>
          <w:i/>
          <w:iCs/>
        </w:rPr>
        <w:t>Cadle Co. v. Davis</w:t>
      </w:r>
      <w:r>
        <w:t>,</w:t>
      </w:r>
      <w:r w:rsidR="00777195">
        <w:t xml:space="preserve"> No. 04-09-00763-CV, </w:t>
      </w:r>
      <w:r>
        <w:t>2010 Tex. App. LEXIS 10212</w:t>
      </w:r>
      <w:r w:rsidR="00777195">
        <w:t xml:space="preserve">, at </w:t>
      </w:r>
      <w:r w:rsidR="00571E3A">
        <w:t>*</w:t>
      </w:r>
      <w:r w:rsidR="00777195">
        <w:t xml:space="preserve">*21–22 (Tex. App.—San Antonio Dec. 29, 2010, pet. denied) </w:t>
      </w:r>
      <w:r>
        <w:t xml:space="preserve">(citing </w:t>
      </w:r>
      <w:r>
        <w:rPr>
          <w:i/>
          <w:iCs/>
        </w:rPr>
        <w:t>Gilmartin v. KVTV-Channel 13</w:t>
      </w:r>
      <w:r>
        <w:t>, 985 S.W.2d 553, 5539 (Tex. App.—San Antonio 1998, no pet.)).</w:t>
      </w:r>
    </w:p>
  </w:footnote>
  <w:footnote w:id="150">
    <w:p w14:paraId="653523E2" w14:textId="10F89BC1" w:rsidR="008764E1" w:rsidRPr="008764E1" w:rsidRDefault="008764E1" w:rsidP="00022F4A">
      <w:pPr>
        <w:pStyle w:val="FootnoteText"/>
        <w:jc w:val="both"/>
      </w:pPr>
      <w:r>
        <w:rPr>
          <w:rStyle w:val="FootnoteReference"/>
        </w:rPr>
        <w:footnoteRef/>
      </w:r>
      <w:r>
        <w:t xml:space="preserve"> </w:t>
      </w:r>
      <w:r>
        <w:rPr>
          <w:i/>
          <w:iCs/>
        </w:rPr>
        <w:t>Tony Gullo Motors I, L.P. v. Chapa</w:t>
      </w:r>
      <w:r>
        <w:t>, 212 S.W.3d 299, 305 (Tex. 2006).</w:t>
      </w:r>
    </w:p>
  </w:footnote>
  <w:footnote w:id="151">
    <w:p w14:paraId="3031C989" w14:textId="31E6E50B" w:rsidR="008764E1" w:rsidRPr="008764E1" w:rsidRDefault="008764E1" w:rsidP="00022F4A">
      <w:pPr>
        <w:pStyle w:val="FootnoteText"/>
        <w:jc w:val="both"/>
      </w:pPr>
      <w:r>
        <w:rPr>
          <w:rStyle w:val="FootnoteReference"/>
        </w:rPr>
        <w:footnoteRef/>
      </w:r>
      <w:r>
        <w:t xml:space="preserve"> 212 S.W.3d at 305 (citing, among others, </w:t>
      </w:r>
      <w:r>
        <w:rPr>
          <w:i/>
          <w:iCs/>
        </w:rPr>
        <w:t xml:space="preserve">Formosa Plastics, </w:t>
      </w:r>
      <w:r>
        <w:t>960 S.W.2d at 48).</w:t>
      </w:r>
    </w:p>
  </w:footnote>
  <w:footnote w:id="152">
    <w:p w14:paraId="5B195843" w14:textId="0762F9D0" w:rsidR="00C259DD" w:rsidRPr="0056152F" w:rsidRDefault="00C259DD" w:rsidP="0020013C">
      <w:pPr>
        <w:pStyle w:val="FootnoteText"/>
        <w:jc w:val="both"/>
      </w:pPr>
      <w:r>
        <w:rPr>
          <w:rStyle w:val="FootnoteReference"/>
        </w:rPr>
        <w:footnoteRef/>
      </w:r>
      <w:r>
        <w:t xml:space="preserve"> </w:t>
      </w:r>
      <w:r>
        <w:rPr>
          <w:i/>
          <w:iCs/>
        </w:rPr>
        <w:t xml:space="preserve">See </w:t>
      </w:r>
      <w:proofErr w:type="spellStart"/>
      <w:r>
        <w:rPr>
          <w:i/>
          <w:iCs/>
        </w:rPr>
        <w:t>Weizhong</w:t>
      </w:r>
      <w:proofErr w:type="spellEnd"/>
      <w:r>
        <w:rPr>
          <w:i/>
          <w:iCs/>
        </w:rPr>
        <w:t xml:space="preserve"> Zheng v. Vacation Network, Inc.</w:t>
      </w:r>
      <w:r>
        <w:t>, 468 S.W.3d 180, 186 (Tex. App.—Houston [14th Dist.] 2015,</w:t>
      </w:r>
      <w:r w:rsidR="00022F4A">
        <w:t xml:space="preserve"> pet. denied)</w:t>
      </w:r>
      <w:r>
        <w:t xml:space="preserve"> (affirming dismissal of fraudulent inducement claim where plaintiff did not “identify what material facts were allegedly concealed or undisclosed” by the defendant)</w:t>
      </w:r>
      <w:r w:rsidR="0056152F">
        <w:t xml:space="preserve">; </w:t>
      </w:r>
      <w:r w:rsidR="0056152F">
        <w:rPr>
          <w:i/>
          <w:iCs/>
        </w:rPr>
        <w:t xml:space="preserve">Shandong </w:t>
      </w:r>
      <w:proofErr w:type="spellStart"/>
      <w:r w:rsidR="0056152F">
        <w:rPr>
          <w:i/>
          <w:iCs/>
        </w:rPr>
        <w:t>Yinguang</w:t>
      </w:r>
      <w:proofErr w:type="spellEnd"/>
      <w:r w:rsidR="0056152F">
        <w:rPr>
          <w:i/>
          <w:iCs/>
        </w:rPr>
        <w:t xml:space="preserve"> Chem. Indus. Joint Stock Co. v. Potter</w:t>
      </w:r>
      <w:r w:rsidR="0056152F">
        <w:t>, 607 F.3d 1029, 1033 (5th Cir. 2010) (failure to plead fraud with specificity failed Federal Rule of Civil Procedure 9(b)’s heightened pleading requirements).</w:t>
      </w:r>
    </w:p>
  </w:footnote>
  <w:footnote w:id="153">
    <w:p w14:paraId="78562CF0" w14:textId="42CF2F24" w:rsidR="00777195" w:rsidRPr="00777195" w:rsidRDefault="00777195" w:rsidP="0020013C">
      <w:pPr>
        <w:pStyle w:val="FootnoteText"/>
        <w:jc w:val="both"/>
      </w:pPr>
      <w:r>
        <w:rPr>
          <w:rStyle w:val="FootnoteReference"/>
        </w:rPr>
        <w:footnoteRef/>
      </w:r>
      <w:r>
        <w:t xml:space="preserve"> </w:t>
      </w:r>
      <w:r>
        <w:rPr>
          <w:i/>
          <w:iCs/>
        </w:rPr>
        <w:t>See Davis</w:t>
      </w:r>
      <w:r>
        <w:t>, 2010 Tex. App. LEXIS 10212 at **8, 21–22 (Reversing verdict because representation by defendant that “we will get this behind us” could not support a fraudulent inducement claim).</w:t>
      </w:r>
    </w:p>
  </w:footnote>
  <w:footnote w:id="154">
    <w:p w14:paraId="52AD6F00" w14:textId="22540F11" w:rsidR="00D8389F" w:rsidRPr="00D8389F" w:rsidRDefault="00D8389F" w:rsidP="00F876E9">
      <w:pPr>
        <w:pStyle w:val="FootnoteText"/>
        <w:jc w:val="both"/>
      </w:pPr>
      <w:r>
        <w:rPr>
          <w:rStyle w:val="FootnoteReference"/>
        </w:rPr>
        <w:footnoteRef/>
      </w:r>
      <w:r>
        <w:t xml:space="preserve"> </w:t>
      </w:r>
      <w:r>
        <w:rPr>
          <w:i/>
          <w:iCs/>
        </w:rPr>
        <w:t>Nelson v. McCall Motors, Inc.</w:t>
      </w:r>
      <w:r>
        <w:t xml:space="preserve">, 630 S.W.3d 141, 148 (Tex. App.—Eastland 2020, no pet.) (quoting </w:t>
      </w:r>
      <w:r w:rsidR="00E567BD">
        <w:rPr>
          <w:i/>
          <w:iCs/>
        </w:rPr>
        <w:t>JPMorgan Chase Bank, N.A. v. Orca Assets G.P., LLC</w:t>
      </w:r>
      <w:r w:rsidR="00E567BD">
        <w:t>, 546 S.W.3d 648, 654</w:t>
      </w:r>
      <w:r w:rsidR="00DE5110">
        <w:t>–</w:t>
      </w:r>
      <w:r w:rsidR="00E567BD">
        <w:t>55 (Tex. 2018)</w:t>
      </w:r>
      <w:r>
        <w:t>).</w:t>
      </w:r>
    </w:p>
  </w:footnote>
  <w:footnote w:id="155">
    <w:p w14:paraId="7A266364" w14:textId="071503AD" w:rsidR="00D8389F" w:rsidRPr="00D8389F" w:rsidRDefault="00D8389F" w:rsidP="00F876E9">
      <w:pPr>
        <w:pStyle w:val="FootnoteText"/>
        <w:jc w:val="both"/>
      </w:pPr>
      <w:r>
        <w:rPr>
          <w:rStyle w:val="FootnoteReference"/>
        </w:rPr>
        <w:footnoteRef/>
      </w:r>
      <w:r>
        <w:t xml:space="preserve"> </w:t>
      </w:r>
      <w:r>
        <w:rPr>
          <w:i/>
          <w:iCs/>
        </w:rPr>
        <w:t xml:space="preserve">Id. </w:t>
      </w:r>
      <w:r>
        <w:t xml:space="preserve">(quoting </w:t>
      </w:r>
      <w:r>
        <w:rPr>
          <w:i/>
          <w:iCs/>
        </w:rPr>
        <w:t>Barrow-Shaver Res. Co. v. Carrizo Oil &amp; Gas, Inc.</w:t>
      </w:r>
      <w:r>
        <w:t>, 590 S.W.3d 471, 497 (Tex. 2019)).</w:t>
      </w:r>
    </w:p>
  </w:footnote>
  <w:footnote w:id="156">
    <w:p w14:paraId="55F97EB2" w14:textId="295DBE53" w:rsidR="00667691" w:rsidRPr="00667691" w:rsidRDefault="00667691" w:rsidP="00F876E9">
      <w:pPr>
        <w:pStyle w:val="FootnoteText"/>
        <w:jc w:val="both"/>
      </w:pPr>
      <w:r>
        <w:rPr>
          <w:rStyle w:val="FootnoteReference"/>
        </w:rPr>
        <w:footnoteRef/>
      </w:r>
      <w:r>
        <w:t xml:space="preserve"> </w:t>
      </w:r>
      <w:r>
        <w:rPr>
          <w:i/>
          <w:iCs/>
        </w:rPr>
        <w:t>Id.</w:t>
      </w:r>
      <w:r>
        <w:t xml:space="preserve"> (quoting </w:t>
      </w:r>
      <w:r>
        <w:rPr>
          <w:i/>
          <w:iCs/>
        </w:rPr>
        <w:t>Grant Thornton LLP v. Prospect High Income Fund</w:t>
      </w:r>
      <w:r>
        <w:t>, 314 S.W.3d 913, 923 (Tex. 2010) (internal citations omitted)).</w:t>
      </w:r>
    </w:p>
  </w:footnote>
  <w:footnote w:id="157">
    <w:p w14:paraId="6F649AA4" w14:textId="5ED46D17" w:rsidR="00667691" w:rsidRPr="00667691" w:rsidRDefault="00667691" w:rsidP="00F876E9">
      <w:pPr>
        <w:pStyle w:val="FootnoteText"/>
        <w:jc w:val="both"/>
      </w:pPr>
      <w:r>
        <w:rPr>
          <w:rStyle w:val="FootnoteReference"/>
        </w:rPr>
        <w:footnoteRef/>
      </w:r>
      <w:r>
        <w:t xml:space="preserve"> </w:t>
      </w:r>
      <w:r>
        <w:rPr>
          <w:i/>
          <w:iCs/>
        </w:rPr>
        <w:t>Barrow-Shaver</w:t>
      </w:r>
      <w:r>
        <w:t xml:space="preserve">, 590 S.W.3d at 497 (quoting </w:t>
      </w:r>
      <w:r>
        <w:rPr>
          <w:i/>
          <w:iCs/>
        </w:rPr>
        <w:t>Thigpen v. Locke</w:t>
      </w:r>
      <w:r>
        <w:t xml:space="preserve">, 363 S.W.2d 247, 251 (Tex. 1962)). </w:t>
      </w:r>
    </w:p>
  </w:footnote>
  <w:footnote w:id="158">
    <w:p w14:paraId="4B94E418" w14:textId="6D60CB10" w:rsidR="00A21E0B" w:rsidRPr="00A21E0B" w:rsidRDefault="00A21E0B" w:rsidP="00F876E9">
      <w:pPr>
        <w:pStyle w:val="FootnoteText"/>
        <w:jc w:val="both"/>
      </w:pPr>
      <w:r>
        <w:rPr>
          <w:rStyle w:val="FootnoteReference"/>
        </w:rPr>
        <w:footnoteRef/>
      </w:r>
      <w:r>
        <w:t xml:space="preserve"> </w:t>
      </w:r>
      <w:r>
        <w:rPr>
          <w:i/>
          <w:iCs/>
        </w:rPr>
        <w:t>Id.</w:t>
      </w:r>
    </w:p>
  </w:footnote>
  <w:footnote w:id="159">
    <w:p w14:paraId="70675410" w14:textId="1FEA5C78" w:rsidR="007B4AC9" w:rsidRPr="007B4AC9" w:rsidRDefault="007B4AC9" w:rsidP="00F876E9">
      <w:pPr>
        <w:pStyle w:val="FootnoteText"/>
        <w:jc w:val="both"/>
      </w:pPr>
      <w:r>
        <w:rPr>
          <w:rStyle w:val="FootnoteReference"/>
        </w:rPr>
        <w:footnoteRef/>
      </w:r>
      <w:r>
        <w:t xml:space="preserve"> </w:t>
      </w:r>
      <w:r>
        <w:rPr>
          <w:i/>
          <w:iCs/>
        </w:rPr>
        <w:t>Orca Assets</w:t>
      </w:r>
      <w:r>
        <w:t xml:space="preserve">, 546 S.W.3d </w:t>
      </w:r>
      <w:r w:rsidR="00E567BD">
        <w:t>at</w:t>
      </w:r>
      <w:r>
        <w:t xml:space="preserve"> 654</w:t>
      </w:r>
      <w:r w:rsidR="00E567BD">
        <w:t>–</w:t>
      </w:r>
      <w:r>
        <w:t xml:space="preserve">55; </w:t>
      </w:r>
      <w:r>
        <w:rPr>
          <w:i/>
          <w:iCs/>
        </w:rPr>
        <w:t>High Risk Pregnancy Drs., PLLC v. Lincoln Prop. Co.</w:t>
      </w:r>
      <w:r>
        <w:t xml:space="preserve">, </w:t>
      </w:r>
      <w:r w:rsidR="00E567BD">
        <w:t xml:space="preserve">No. 02-25-00386-CV, </w:t>
      </w:r>
      <w:r>
        <w:t>2026 Tex. App. LEXIS 927, *25 (Tex. App.—Fort Worth Jan. 30, 2026, no pet. h.).</w:t>
      </w:r>
    </w:p>
  </w:footnote>
  <w:footnote w:id="160">
    <w:p w14:paraId="2B9727BC" w14:textId="0DEE6A54" w:rsidR="007975E0" w:rsidRPr="007975E0" w:rsidRDefault="007975E0" w:rsidP="00F876E9">
      <w:pPr>
        <w:pStyle w:val="FootnoteText"/>
        <w:jc w:val="both"/>
      </w:pPr>
      <w:r>
        <w:rPr>
          <w:rStyle w:val="FootnoteReference"/>
        </w:rPr>
        <w:footnoteRef/>
      </w:r>
      <w:r>
        <w:t xml:space="preserve"> </w:t>
      </w:r>
      <w:r>
        <w:rPr>
          <w:i/>
          <w:iCs/>
        </w:rPr>
        <w:t xml:space="preserve">Mercedes-Benz USA, LLC v. </w:t>
      </w:r>
      <w:proofErr w:type="spellStart"/>
      <w:r>
        <w:rPr>
          <w:i/>
          <w:iCs/>
        </w:rPr>
        <w:t>Carduco</w:t>
      </w:r>
      <w:proofErr w:type="spellEnd"/>
      <w:r>
        <w:rPr>
          <w:i/>
          <w:iCs/>
        </w:rPr>
        <w:t>, Inc.</w:t>
      </w:r>
      <w:r>
        <w:t>, 583 S.W.3d 553, 559 (Tex. 2019).</w:t>
      </w:r>
    </w:p>
  </w:footnote>
  <w:footnote w:id="161">
    <w:p w14:paraId="18BBD788" w14:textId="77777777" w:rsidR="007975E0" w:rsidRPr="007B4AC9" w:rsidRDefault="007975E0" w:rsidP="00F876E9">
      <w:pPr>
        <w:pStyle w:val="FootnoteText"/>
        <w:jc w:val="both"/>
      </w:pPr>
      <w:r>
        <w:rPr>
          <w:rStyle w:val="FootnoteReference"/>
        </w:rPr>
        <w:footnoteRef/>
      </w:r>
      <w:r>
        <w:t xml:space="preserve"> </w:t>
      </w:r>
      <w:r>
        <w:rPr>
          <w:i/>
          <w:iCs/>
        </w:rPr>
        <w:t>Lincoln Prop. Co.</w:t>
      </w:r>
      <w:r>
        <w:t>¸2026 Tex. App. LEXIS 927 at *28.</w:t>
      </w:r>
    </w:p>
  </w:footnote>
  <w:footnote w:id="162">
    <w:p w14:paraId="082B98D2" w14:textId="441474D3" w:rsidR="00722E2F" w:rsidRPr="00722E2F" w:rsidRDefault="00722E2F" w:rsidP="00F876E9">
      <w:pPr>
        <w:pStyle w:val="FootnoteText"/>
        <w:jc w:val="both"/>
      </w:pPr>
      <w:r>
        <w:rPr>
          <w:rStyle w:val="FootnoteReference"/>
        </w:rPr>
        <w:footnoteRef/>
      </w:r>
      <w:r>
        <w:t xml:space="preserve"> </w:t>
      </w:r>
      <w:r>
        <w:rPr>
          <w:i/>
          <w:iCs/>
        </w:rPr>
        <w:t xml:space="preserve">Royce Bane </w:t>
      </w:r>
      <w:proofErr w:type="spellStart"/>
      <w:r>
        <w:rPr>
          <w:i/>
          <w:iCs/>
        </w:rPr>
        <w:t>Invs</w:t>
      </w:r>
      <w:proofErr w:type="spellEnd"/>
      <w:r>
        <w:rPr>
          <w:i/>
          <w:iCs/>
        </w:rPr>
        <w:t>., Inc. v. McGinn</w:t>
      </w:r>
      <w:r>
        <w:t xml:space="preserve">, No. 12-07-00262-CV, 2008 Tex. App. LEXIS 7090, </w:t>
      </w:r>
      <w:r w:rsidR="00936D9C">
        <w:t xml:space="preserve">at </w:t>
      </w:r>
      <w:r>
        <w:t xml:space="preserve">*11 (Tex. App.—Tyler Sep. 24, 2008, no pet.) </w:t>
      </w:r>
      <w:r w:rsidR="00D21BB0">
        <w:t>(</w:t>
      </w:r>
      <w:r>
        <w:t>noting [o]</w:t>
      </w:r>
      <w:proofErr w:type="spellStart"/>
      <w:r>
        <w:t>ther</w:t>
      </w:r>
      <w:proofErr w:type="spellEnd"/>
      <w:r>
        <w:t xml:space="preserve"> cases involving merger clauses have contained a more specific disclaimer of reliance”).</w:t>
      </w:r>
    </w:p>
  </w:footnote>
  <w:footnote w:id="163">
    <w:p w14:paraId="727C0146" w14:textId="11C252C9" w:rsidR="00991D75" w:rsidRPr="0063298B" w:rsidRDefault="00991D75" w:rsidP="00F876E9">
      <w:pPr>
        <w:pStyle w:val="FootnoteText"/>
        <w:jc w:val="both"/>
      </w:pPr>
      <w:r>
        <w:rPr>
          <w:rStyle w:val="FootnoteReference"/>
        </w:rPr>
        <w:footnoteRef/>
      </w:r>
      <w:r>
        <w:t xml:space="preserve"> </w:t>
      </w:r>
      <w:r w:rsidR="0063298B">
        <w:rPr>
          <w:i/>
          <w:iCs/>
        </w:rPr>
        <w:t>Id.</w:t>
      </w:r>
    </w:p>
  </w:footnote>
  <w:footnote w:id="164">
    <w:p w14:paraId="439F1B68" w14:textId="7CEA18AB" w:rsidR="00FD2D1D" w:rsidRPr="00FD2D1D" w:rsidRDefault="00FD2D1D" w:rsidP="00F876E9">
      <w:pPr>
        <w:pStyle w:val="FootnoteText"/>
        <w:jc w:val="both"/>
      </w:pPr>
      <w:r>
        <w:rPr>
          <w:rStyle w:val="FootnoteReference"/>
        </w:rPr>
        <w:footnoteRef/>
      </w:r>
      <w:r>
        <w:t xml:space="preserve"> </w:t>
      </w:r>
      <w:r w:rsidR="0063298B">
        <w:rPr>
          <w:i/>
          <w:iCs/>
        </w:rPr>
        <w:t>Id.</w:t>
      </w:r>
      <w:r>
        <w:t xml:space="preserve"> (citing </w:t>
      </w:r>
      <w:r>
        <w:rPr>
          <w:i/>
          <w:iCs/>
        </w:rPr>
        <w:t>Forest Oil Corp. v. McAllen</w:t>
      </w:r>
      <w:r>
        <w:t>, 268 S.W.3d 51, 60</w:t>
      </w:r>
      <w:r w:rsidR="00BE0DF5" w:rsidRPr="00BE0DF5">
        <w:t>–</w:t>
      </w:r>
      <w:r>
        <w:t xml:space="preserve">61 (Tex. 2008) </w:t>
      </w:r>
      <w:r>
        <w:rPr>
          <w:i/>
          <w:iCs/>
        </w:rPr>
        <w:t>and Schlumberger Tech. Corp. v. Swanson</w:t>
      </w:r>
      <w:r>
        <w:t>, 959 S.W.2d 171, 179 (Tex. 1997)).</w:t>
      </w:r>
    </w:p>
  </w:footnote>
  <w:footnote w:id="165">
    <w:p w14:paraId="2A0AA059" w14:textId="4C931C8F" w:rsidR="00FD2D1D" w:rsidRPr="00FD2D1D" w:rsidRDefault="00FD2D1D" w:rsidP="00F876E9">
      <w:pPr>
        <w:pStyle w:val="FootnoteText"/>
        <w:jc w:val="both"/>
      </w:pPr>
      <w:r>
        <w:rPr>
          <w:rStyle w:val="FootnoteReference"/>
        </w:rPr>
        <w:footnoteRef/>
      </w:r>
      <w:r>
        <w:t xml:space="preserve"> </w:t>
      </w:r>
      <w:r w:rsidR="00E567BD">
        <w:rPr>
          <w:i/>
          <w:iCs/>
        </w:rPr>
        <w:t>IBM</w:t>
      </w:r>
      <w:r w:rsidR="00E567BD">
        <w:t xml:space="preserve">, 573 S.W.3d at 230 </w:t>
      </w:r>
      <w:r>
        <w:t xml:space="preserve">(citing </w:t>
      </w:r>
      <w:r>
        <w:rPr>
          <w:i/>
          <w:iCs/>
        </w:rPr>
        <w:t>Italian Cowboy</w:t>
      </w:r>
      <w:r w:rsidR="009F1FEA">
        <w:rPr>
          <w:i/>
          <w:iCs/>
        </w:rPr>
        <w:t xml:space="preserve"> Partners, Ltd. v. Prudential Ins. Co. of Am.</w:t>
      </w:r>
      <w:r>
        <w:t>, 341 S.W.3d</w:t>
      </w:r>
      <w:r w:rsidR="009F1FEA">
        <w:t xml:space="preserve"> 323, </w:t>
      </w:r>
      <w:r>
        <w:t xml:space="preserve">337 n.8 </w:t>
      </w:r>
      <w:r w:rsidR="009F1FEA">
        <w:t xml:space="preserve">(Tex. 2011) </w:t>
      </w:r>
      <w:r>
        <w:rPr>
          <w:i/>
          <w:iCs/>
        </w:rPr>
        <w:t>and Forest Oil</w:t>
      </w:r>
      <w:r>
        <w:t>, 268 S.W.3d at 60).</w:t>
      </w:r>
    </w:p>
  </w:footnote>
  <w:footnote w:id="166">
    <w:p w14:paraId="60235F52" w14:textId="345FDDCE" w:rsidR="00D21BB0" w:rsidRDefault="00D21BB0" w:rsidP="00F876E9">
      <w:pPr>
        <w:pStyle w:val="FootnoteText"/>
        <w:jc w:val="both"/>
      </w:pPr>
      <w:r>
        <w:rPr>
          <w:rStyle w:val="FootnoteReference"/>
        </w:rPr>
        <w:footnoteRef/>
      </w:r>
      <w:r>
        <w:t xml:space="preserve"> 2008 Tex. App. LEXIS 7090 at </w:t>
      </w:r>
      <w:r w:rsidR="002E694A">
        <w:t>*</w:t>
      </w:r>
      <w:r>
        <w:t>*11–14.</w:t>
      </w:r>
    </w:p>
  </w:footnote>
  <w:footnote w:id="167">
    <w:p w14:paraId="051CEA73" w14:textId="46B1F70F" w:rsidR="0077142C" w:rsidRPr="0077142C" w:rsidRDefault="0077142C" w:rsidP="00F876E9">
      <w:pPr>
        <w:pStyle w:val="FootnoteText"/>
        <w:jc w:val="both"/>
      </w:pPr>
      <w:r>
        <w:rPr>
          <w:rStyle w:val="FootnoteReference"/>
        </w:rPr>
        <w:footnoteRef/>
      </w:r>
      <w:r>
        <w:t xml:space="preserve"> </w:t>
      </w:r>
      <w:r>
        <w:rPr>
          <w:i/>
          <w:iCs/>
        </w:rPr>
        <w:t xml:space="preserve">Id. </w:t>
      </w:r>
      <w:r>
        <w:t xml:space="preserve">at </w:t>
      </w:r>
      <w:r w:rsidR="002E694A">
        <w:t>*</w:t>
      </w:r>
      <w:r>
        <w:t>*12–13.</w:t>
      </w:r>
    </w:p>
  </w:footnote>
  <w:footnote w:id="168">
    <w:p w14:paraId="24AED81C" w14:textId="23C41DF3" w:rsidR="007822CC" w:rsidRDefault="007822CC" w:rsidP="00F876E9">
      <w:pPr>
        <w:pStyle w:val="FootnoteText"/>
        <w:jc w:val="both"/>
      </w:pPr>
      <w:r>
        <w:rPr>
          <w:rStyle w:val="FootnoteReference"/>
        </w:rPr>
        <w:footnoteRef/>
      </w:r>
      <w:r>
        <w:t xml:space="preserve"> 341 S.W.3d at 335.</w:t>
      </w:r>
    </w:p>
  </w:footnote>
  <w:footnote w:id="169">
    <w:p w14:paraId="23155F01" w14:textId="2932C9E7" w:rsidR="00A053CE" w:rsidRPr="00A053CE" w:rsidRDefault="00A053CE" w:rsidP="00F876E9">
      <w:pPr>
        <w:pStyle w:val="FootnoteText"/>
        <w:jc w:val="both"/>
      </w:pPr>
      <w:r>
        <w:rPr>
          <w:rStyle w:val="FootnoteReference"/>
        </w:rPr>
        <w:footnoteRef/>
      </w:r>
      <w:r>
        <w:t xml:space="preserve"> </w:t>
      </w:r>
      <w:r>
        <w:rPr>
          <w:i/>
          <w:iCs/>
        </w:rPr>
        <w:t>IBM</w:t>
      </w:r>
      <w:r>
        <w:t>, 573 S.W.3d at 228–29.</w:t>
      </w:r>
    </w:p>
  </w:footnote>
  <w:footnote w:id="170">
    <w:p w14:paraId="0BBFCB81" w14:textId="09EC49F9" w:rsidR="00393020" w:rsidRPr="00393020" w:rsidRDefault="00393020" w:rsidP="00F876E9">
      <w:pPr>
        <w:pStyle w:val="FootnoteText"/>
        <w:jc w:val="both"/>
      </w:pPr>
      <w:r>
        <w:rPr>
          <w:rStyle w:val="FootnoteReference"/>
        </w:rPr>
        <w:footnoteRef/>
      </w:r>
      <w:r>
        <w:t xml:space="preserve"> Practitioners likely do not need reminding that the economic loss rule, which ordinarily bars tort damages that compensate for the same economic losses recoverable under a breach of contract claim, does not apply to fraudulent inducement claims. </w:t>
      </w:r>
      <w:r w:rsidR="008A33BF">
        <w:rPr>
          <w:i/>
          <w:iCs/>
        </w:rPr>
        <w:t>Formosa Plastics Corp.</w:t>
      </w:r>
      <w:r w:rsidR="008A33BF">
        <w:t xml:space="preserve">, 960 S.W.2d at 46–47. </w:t>
      </w:r>
      <w:r>
        <w:t xml:space="preserve">For a helpful and much more comprehensive explanation of this rule, </w:t>
      </w:r>
      <w:r>
        <w:rPr>
          <w:i/>
          <w:iCs/>
        </w:rPr>
        <w:t>see</w:t>
      </w:r>
      <w:r>
        <w:t xml:space="preserve"> </w:t>
      </w:r>
      <w:r w:rsidRPr="008A33BF">
        <w:rPr>
          <w:smallCaps/>
        </w:rPr>
        <w:t xml:space="preserve">Sean M. McChristian, </w:t>
      </w:r>
      <w:r w:rsidR="008A33BF" w:rsidRPr="008A33BF">
        <w:rPr>
          <w:smallCaps/>
        </w:rPr>
        <w:t>The Economic Loss Rule Revisited</w:t>
      </w:r>
      <w:r w:rsidR="008A33BF">
        <w:t xml:space="preserve"> (2025).</w:t>
      </w:r>
    </w:p>
  </w:footnote>
  <w:footnote w:id="171">
    <w:p w14:paraId="3F6A6F14" w14:textId="75E83D07" w:rsidR="00E509A0" w:rsidRDefault="00E509A0" w:rsidP="00F876E9">
      <w:pPr>
        <w:pStyle w:val="FootnoteText"/>
        <w:jc w:val="both"/>
      </w:pPr>
      <w:r>
        <w:rPr>
          <w:rStyle w:val="FootnoteReference"/>
        </w:rPr>
        <w:footnoteRef/>
      </w:r>
      <w:r>
        <w:t xml:space="preserve"> If the contract at issue is ultimately unenforceable, a plaintiff can only recover out-of-pocket damages.</w:t>
      </w:r>
    </w:p>
  </w:footnote>
  <w:footnote w:id="172">
    <w:p w14:paraId="47E7A88A" w14:textId="5C7EFD10" w:rsidR="000E3BAA" w:rsidRPr="00715CE2" w:rsidRDefault="000E3BAA" w:rsidP="00F876E9">
      <w:pPr>
        <w:pStyle w:val="FootnoteText"/>
        <w:jc w:val="both"/>
      </w:pPr>
      <w:r>
        <w:rPr>
          <w:rStyle w:val="FootnoteReference"/>
        </w:rPr>
        <w:footnoteRef/>
      </w:r>
      <w:r>
        <w:t xml:space="preserve"> </w:t>
      </w:r>
      <w:r w:rsidR="00715CE2">
        <w:rPr>
          <w:i/>
          <w:iCs/>
        </w:rPr>
        <w:t xml:space="preserve">See </w:t>
      </w:r>
      <w:r w:rsidR="00715CE2" w:rsidRPr="0020013C">
        <w:rPr>
          <w:smallCaps/>
        </w:rPr>
        <w:t>Tex. Civ. Prac. &amp; Rem. Code</w:t>
      </w:r>
      <w:r w:rsidR="00715CE2">
        <w:t xml:space="preserve"> § 41.003.</w:t>
      </w:r>
    </w:p>
  </w:footnote>
  <w:footnote w:id="173">
    <w:p w14:paraId="2A3B9925" w14:textId="326A878E" w:rsidR="00CF7A4B" w:rsidRPr="00CF7A4B" w:rsidRDefault="00CF7A4B" w:rsidP="00F876E9">
      <w:pPr>
        <w:pStyle w:val="FootnoteText"/>
        <w:jc w:val="both"/>
      </w:pPr>
      <w:r>
        <w:rPr>
          <w:rStyle w:val="FootnoteReference"/>
        </w:rPr>
        <w:footnoteRef/>
      </w:r>
      <w:r>
        <w:t xml:space="preserve"> </w:t>
      </w:r>
      <w:r>
        <w:rPr>
          <w:i/>
          <w:iCs/>
        </w:rPr>
        <w:t>Baylor Univ. v. Sonnichsen</w:t>
      </w:r>
      <w:r>
        <w:t>, 221 S.W.3d 632, 637 (Tex. 2007) (summary judgment proper where plaintiff only sought benefit-of-the-bargain damages, which were precluded as a matter of law).</w:t>
      </w:r>
    </w:p>
  </w:footnote>
  <w:footnote w:id="174">
    <w:p w14:paraId="42782535" w14:textId="350F1BA0" w:rsidR="00C561F0" w:rsidRPr="00C561F0" w:rsidRDefault="00C561F0" w:rsidP="00F876E9">
      <w:pPr>
        <w:pStyle w:val="FootnoteText"/>
        <w:jc w:val="both"/>
      </w:pPr>
      <w:r>
        <w:rPr>
          <w:rStyle w:val="FootnoteReference"/>
        </w:rPr>
        <w:footnoteRef/>
      </w:r>
      <w:r>
        <w:t xml:space="preserve"> </w:t>
      </w:r>
      <w:r>
        <w:rPr>
          <w:i/>
          <w:iCs/>
        </w:rPr>
        <w:t>Lyendecker &amp; Assocs., Inc. v. Wechter</w:t>
      </w:r>
      <w:r>
        <w:t>, 683 S.W.2d 369, 373 (Tex. 1984) (internal quotations omitted).</w:t>
      </w:r>
    </w:p>
  </w:footnote>
  <w:footnote w:id="175">
    <w:p w14:paraId="5CC490D5" w14:textId="7B90A502" w:rsidR="00CF7A4B" w:rsidRPr="00CF7A4B" w:rsidRDefault="00CF7A4B" w:rsidP="00F876E9">
      <w:pPr>
        <w:pStyle w:val="FootnoteText"/>
        <w:jc w:val="both"/>
      </w:pPr>
      <w:r>
        <w:rPr>
          <w:rStyle w:val="FootnoteReference"/>
        </w:rPr>
        <w:footnoteRef/>
      </w:r>
      <w:r>
        <w:t xml:space="preserve"> </w:t>
      </w:r>
      <w:r>
        <w:rPr>
          <w:i/>
          <w:iCs/>
        </w:rPr>
        <w:t>Sonnichsen</w:t>
      </w:r>
      <w:r>
        <w:t>, 221 S.W.3d 632.</w:t>
      </w:r>
    </w:p>
  </w:footnote>
  <w:footnote w:id="176">
    <w:p w14:paraId="2744BFB3" w14:textId="78E5CF3C" w:rsidR="00393020" w:rsidRPr="00393020" w:rsidRDefault="00393020" w:rsidP="00F876E9">
      <w:pPr>
        <w:pStyle w:val="FootnoteText"/>
        <w:jc w:val="both"/>
      </w:pPr>
      <w:r>
        <w:rPr>
          <w:rStyle w:val="FootnoteReference"/>
        </w:rPr>
        <w:footnoteRef/>
      </w:r>
      <w:r>
        <w:t xml:space="preserve"> </w:t>
      </w:r>
      <w:r>
        <w:rPr>
          <w:i/>
          <w:iCs/>
        </w:rPr>
        <w:t>See Formosa Plastics Corp.</w:t>
      </w:r>
      <w:r>
        <w:t>, 960 S.W.2d at 49 (where evidence showed plaintiff spent $831,000 on labor, materials, supplies, and equipment used on the job and was paid $600,000 by the defendant, plaintiff’s out-pocket-damages would be $231,000).</w:t>
      </w:r>
    </w:p>
  </w:footnote>
  <w:footnote w:id="177">
    <w:p w14:paraId="423B13A2" w14:textId="44361AC0" w:rsidR="00080BBC" w:rsidRPr="00080BBC" w:rsidRDefault="00080BBC" w:rsidP="00F876E9">
      <w:pPr>
        <w:pStyle w:val="FootnoteText"/>
        <w:jc w:val="both"/>
      </w:pPr>
      <w:r>
        <w:rPr>
          <w:rStyle w:val="FootnoteReference"/>
        </w:rPr>
        <w:footnoteRef/>
      </w:r>
      <w:r>
        <w:t xml:space="preserve"> </w:t>
      </w:r>
      <w:r>
        <w:rPr>
          <w:i/>
          <w:iCs/>
        </w:rPr>
        <w:t>In re Est. of Ewers</w:t>
      </w:r>
      <w:r>
        <w:t xml:space="preserve">, 695 S.W.3d 603, 642 (Tex. App.—Houston [1st Dist.] 2024, no pet.). </w:t>
      </w:r>
    </w:p>
  </w:footnote>
  <w:footnote w:id="178">
    <w:p w14:paraId="55B4025F" w14:textId="2A8C9B94" w:rsidR="00F5287B" w:rsidRPr="00F5287B" w:rsidRDefault="00F5287B" w:rsidP="008145C6">
      <w:pPr>
        <w:pStyle w:val="FootnoteText"/>
        <w:jc w:val="both"/>
      </w:pPr>
      <w:r>
        <w:rPr>
          <w:rStyle w:val="FootnoteReference"/>
        </w:rPr>
        <w:footnoteRef/>
      </w:r>
      <w:r>
        <w:t xml:space="preserve"> </w:t>
      </w:r>
      <w:r>
        <w:rPr>
          <w:i/>
          <w:iCs/>
        </w:rPr>
        <w:t>Fortune Prod. Co. v. Conoco, Inc.</w:t>
      </w:r>
      <w:r>
        <w:t xml:space="preserve">, 52 S.W.3d 671, 681 (Tex. 2000) (citing </w:t>
      </w:r>
      <w:r>
        <w:rPr>
          <w:i/>
          <w:iCs/>
        </w:rPr>
        <w:t>Formosa Plastics Corp.</w:t>
      </w:r>
      <w:r>
        <w:t xml:space="preserve">, 960 S.W.2d at 49). </w:t>
      </w:r>
    </w:p>
  </w:footnote>
  <w:footnote w:id="179">
    <w:p w14:paraId="440ED907" w14:textId="43827CD4" w:rsidR="00F5287B" w:rsidRPr="00F5287B" w:rsidRDefault="00F5287B" w:rsidP="008145C6">
      <w:pPr>
        <w:pStyle w:val="FootnoteText"/>
        <w:jc w:val="both"/>
      </w:pPr>
      <w:r>
        <w:rPr>
          <w:rStyle w:val="FootnoteReference"/>
        </w:rPr>
        <w:footnoteRef/>
      </w:r>
      <w:r>
        <w:t xml:space="preserve"> </w:t>
      </w:r>
      <w:r>
        <w:rPr>
          <w:i/>
          <w:iCs/>
        </w:rPr>
        <w:t>Formosa Plastics Corp.</w:t>
      </w:r>
      <w:r>
        <w:t xml:space="preserve">, 960 S.W.2d at 50. </w:t>
      </w:r>
    </w:p>
  </w:footnote>
  <w:footnote w:id="180">
    <w:p w14:paraId="564163B8" w14:textId="3EB2A31E" w:rsidR="00F876E9" w:rsidRPr="00F876E9" w:rsidRDefault="00F876E9" w:rsidP="008145C6">
      <w:pPr>
        <w:pStyle w:val="FootnoteText"/>
        <w:jc w:val="both"/>
      </w:pPr>
      <w:r>
        <w:rPr>
          <w:rStyle w:val="FootnoteReference"/>
        </w:rPr>
        <w:footnoteRef/>
      </w:r>
      <w:r>
        <w:t xml:space="preserve"> </w:t>
      </w:r>
      <w:r>
        <w:rPr>
          <w:i/>
          <w:iCs/>
        </w:rPr>
        <w:t xml:space="preserve">See id. </w:t>
      </w:r>
      <w:r>
        <w:t xml:space="preserve">at 50 (“Burnette’s testimony regarding the $1.3 million hypothetical bid is also not probative evidence of benefit-of-the-bargain damages.”); </w:t>
      </w:r>
      <w:r>
        <w:rPr>
          <w:i/>
          <w:iCs/>
        </w:rPr>
        <w:t>Fortune Prods.</w:t>
      </w:r>
      <w:r>
        <w:t>, 52 S.W.3d at 682 (finding there was “no evidence” that the parties would have agreed to a different price had the plaintiff known the truth at the time of contract).</w:t>
      </w:r>
    </w:p>
  </w:footnote>
  <w:footnote w:id="181">
    <w:p w14:paraId="78A029D3" w14:textId="64AD9FCE" w:rsidR="00F876E9" w:rsidRPr="00F00312" w:rsidRDefault="00F876E9" w:rsidP="0020013C">
      <w:pPr>
        <w:pStyle w:val="FootnoteText"/>
        <w:jc w:val="both"/>
      </w:pPr>
      <w:r>
        <w:rPr>
          <w:rStyle w:val="FootnoteReference"/>
        </w:rPr>
        <w:footnoteRef/>
      </w:r>
      <w:r>
        <w:t xml:space="preserve"> </w:t>
      </w:r>
      <w:r w:rsidR="00F00312">
        <w:rPr>
          <w:i/>
          <w:iCs/>
        </w:rPr>
        <w:t>Id.</w:t>
      </w:r>
    </w:p>
  </w:footnote>
  <w:footnote w:id="182">
    <w:p w14:paraId="0D02A6F4" w14:textId="633251F3" w:rsidR="0090691B" w:rsidRPr="0090691B" w:rsidRDefault="0090691B" w:rsidP="0020013C">
      <w:pPr>
        <w:pStyle w:val="FootnoteText"/>
        <w:jc w:val="both"/>
      </w:pPr>
      <w:r>
        <w:rPr>
          <w:rStyle w:val="FootnoteReference"/>
        </w:rPr>
        <w:footnoteRef/>
      </w:r>
      <w:r>
        <w:t xml:space="preserve"> </w:t>
      </w:r>
      <w:r>
        <w:rPr>
          <w:i/>
          <w:iCs/>
        </w:rPr>
        <w:t>Id.</w:t>
      </w:r>
    </w:p>
  </w:footnote>
  <w:footnote w:id="183">
    <w:p w14:paraId="2F61C08B" w14:textId="5C956B6D" w:rsidR="0090691B" w:rsidRPr="0090691B" w:rsidRDefault="0090691B" w:rsidP="0020013C">
      <w:pPr>
        <w:pStyle w:val="FootnoteText"/>
        <w:jc w:val="both"/>
      </w:pPr>
      <w:r>
        <w:rPr>
          <w:rStyle w:val="FootnoteReference"/>
        </w:rPr>
        <w:footnoteRef/>
      </w:r>
      <w:r>
        <w:t xml:space="preserve"> </w:t>
      </w:r>
      <w:r>
        <w:rPr>
          <w:i/>
          <w:iCs/>
        </w:rPr>
        <w:t xml:space="preserve">Id. </w:t>
      </w:r>
    </w:p>
  </w:footnote>
  <w:footnote w:id="184">
    <w:p w14:paraId="794C7F97" w14:textId="5DFE7F92" w:rsidR="00F00312" w:rsidRPr="00F00312" w:rsidRDefault="00F00312" w:rsidP="0020013C">
      <w:pPr>
        <w:pStyle w:val="FootnoteText"/>
        <w:jc w:val="both"/>
      </w:pPr>
      <w:r>
        <w:rPr>
          <w:rStyle w:val="FootnoteReference"/>
        </w:rPr>
        <w:footnoteRef/>
      </w:r>
      <w:r>
        <w:t xml:space="preserve"> </w:t>
      </w:r>
      <w:r>
        <w:rPr>
          <w:i/>
          <w:iCs/>
        </w:rPr>
        <w:t xml:space="preserve">Id. </w:t>
      </w:r>
    </w:p>
  </w:footnote>
  <w:footnote w:id="185">
    <w:p w14:paraId="55942C19" w14:textId="4F672348" w:rsidR="0090691B" w:rsidRPr="00D45EB7" w:rsidRDefault="0090691B" w:rsidP="0020013C">
      <w:pPr>
        <w:pStyle w:val="FootnoteText"/>
        <w:jc w:val="both"/>
      </w:pPr>
      <w:r>
        <w:rPr>
          <w:rStyle w:val="FootnoteReference"/>
        </w:rPr>
        <w:footnoteRef/>
      </w:r>
      <w:r>
        <w:t xml:space="preserve"> </w:t>
      </w:r>
      <w:r w:rsidR="00D45EB7">
        <w:rPr>
          <w:i/>
          <w:iCs/>
        </w:rPr>
        <w:t>Id.</w:t>
      </w:r>
    </w:p>
  </w:footnote>
  <w:footnote w:id="186">
    <w:p w14:paraId="502FCD2E" w14:textId="435F541A" w:rsidR="00D45EB7" w:rsidRPr="00D45EB7" w:rsidRDefault="00D45EB7" w:rsidP="0020013C">
      <w:pPr>
        <w:pStyle w:val="FootnoteText"/>
        <w:jc w:val="both"/>
      </w:pPr>
      <w:r>
        <w:rPr>
          <w:rStyle w:val="FootnoteReference"/>
        </w:rPr>
        <w:footnoteRef/>
      </w:r>
      <w:r>
        <w:t xml:space="preserve"> </w:t>
      </w:r>
      <w:r>
        <w:rPr>
          <w:i/>
          <w:iCs/>
        </w:rPr>
        <w:t>Id.</w:t>
      </w:r>
    </w:p>
  </w:footnote>
  <w:footnote w:id="187">
    <w:p w14:paraId="2C908B4F" w14:textId="1D1DB3BA" w:rsidR="00D45EB7" w:rsidRPr="00537480" w:rsidRDefault="00D45EB7" w:rsidP="008145C6">
      <w:pPr>
        <w:pStyle w:val="FootnoteText"/>
        <w:jc w:val="both"/>
      </w:pPr>
      <w:r>
        <w:rPr>
          <w:rStyle w:val="FootnoteReference"/>
        </w:rPr>
        <w:footnoteRef/>
      </w:r>
      <w:r>
        <w:t xml:space="preserve"> </w:t>
      </w:r>
      <w:r w:rsidR="00537480">
        <w:rPr>
          <w:i/>
          <w:iCs/>
        </w:rPr>
        <w:t xml:space="preserve">Id. </w:t>
      </w:r>
      <w:r w:rsidR="00537480">
        <w:t>at 52.</w:t>
      </w:r>
    </w:p>
  </w:footnote>
  <w:footnote w:id="188">
    <w:p w14:paraId="437B4361" w14:textId="00A89F73" w:rsidR="00537480" w:rsidRDefault="00537480" w:rsidP="004042EF">
      <w:pPr>
        <w:pStyle w:val="FootnoteText"/>
        <w:jc w:val="both"/>
      </w:pPr>
      <w:r>
        <w:rPr>
          <w:rStyle w:val="FootnoteReference"/>
        </w:rPr>
        <w:footnoteRef/>
      </w:r>
      <w:r>
        <w:t xml:space="preserve"> </w:t>
      </w:r>
      <w:r w:rsidRPr="0020013C">
        <w:rPr>
          <w:smallCaps/>
        </w:rPr>
        <w:t>Tex. Civ. Prac. &amp; Rem. Code</w:t>
      </w:r>
      <w:r>
        <w:t xml:space="preserve"> § 41.003.</w:t>
      </w:r>
    </w:p>
  </w:footnote>
  <w:footnote w:id="189">
    <w:p w14:paraId="20F92D5B" w14:textId="6C950FFC" w:rsidR="00537480" w:rsidRPr="0057642F" w:rsidRDefault="00537480" w:rsidP="004042EF">
      <w:pPr>
        <w:pStyle w:val="FootnoteText"/>
        <w:jc w:val="both"/>
      </w:pPr>
      <w:r>
        <w:rPr>
          <w:rStyle w:val="FootnoteReference"/>
        </w:rPr>
        <w:footnoteRef/>
      </w:r>
      <w:r>
        <w:t xml:space="preserve"> </w:t>
      </w:r>
      <w:r>
        <w:rPr>
          <w:i/>
          <w:iCs/>
        </w:rPr>
        <w:t>Home Comfortable Supplies, Inc. v. Cooper</w:t>
      </w:r>
      <w:r>
        <w:t>, 544 S.W.3d 899, 907 (Tex. App.—Houston [14th Dist.] 2018, no pet.)</w:t>
      </w:r>
      <w:r w:rsidR="0057642F">
        <w:t xml:space="preserve">; </w:t>
      </w:r>
      <w:proofErr w:type="spellStart"/>
      <w:r w:rsidR="0057642F">
        <w:rPr>
          <w:i/>
          <w:iCs/>
        </w:rPr>
        <w:t>Artripe</w:t>
      </w:r>
      <w:proofErr w:type="spellEnd"/>
      <w:r w:rsidR="0057642F">
        <w:rPr>
          <w:i/>
          <w:iCs/>
        </w:rPr>
        <w:t xml:space="preserve"> v. Hughes</w:t>
      </w:r>
      <w:r w:rsidR="0057642F">
        <w:t xml:space="preserve">, 857 S.W.2d 82, 87 (Tex. App.—Corpus Christi 1993, no writ) (“Fraudulent misrepresentations used to induce the creation of a contract, coupled with damages caused by the misrepresentation, will support an award for exemplary damages.”). </w:t>
      </w:r>
    </w:p>
  </w:footnote>
  <w:footnote w:id="190">
    <w:p w14:paraId="5571BF97" w14:textId="2AF889AA" w:rsidR="00445039" w:rsidRPr="00445039" w:rsidRDefault="00445039" w:rsidP="0020013C">
      <w:pPr>
        <w:pStyle w:val="FootnoteText"/>
        <w:jc w:val="both"/>
      </w:pPr>
      <w:r>
        <w:rPr>
          <w:rStyle w:val="FootnoteReference"/>
        </w:rPr>
        <w:footnoteRef/>
      </w:r>
      <w:r>
        <w:t xml:space="preserve"> </w:t>
      </w:r>
      <w:r>
        <w:rPr>
          <w:i/>
          <w:iCs/>
        </w:rPr>
        <w:t>State Farm Mut. Auto. Ins. Co. v. Campbell</w:t>
      </w:r>
      <w:r>
        <w:t>, 528 U.S. 408, 416 (2003).</w:t>
      </w:r>
    </w:p>
  </w:footnote>
  <w:footnote w:id="191">
    <w:p w14:paraId="1257AE48" w14:textId="17BABFD9" w:rsidR="00CA0CB6" w:rsidRPr="00CA0CB6" w:rsidRDefault="00CA0CB6" w:rsidP="0020013C">
      <w:pPr>
        <w:pStyle w:val="FootnoteText"/>
        <w:jc w:val="both"/>
      </w:pPr>
      <w:r>
        <w:rPr>
          <w:rStyle w:val="FootnoteReference"/>
        </w:rPr>
        <w:footnoteRef/>
      </w:r>
      <w:r>
        <w:t xml:space="preserve"> </w:t>
      </w:r>
      <w:r>
        <w:rPr>
          <w:i/>
          <w:iCs/>
        </w:rPr>
        <w:t>Tony Gullo Motors I, L.P. v. Chapa</w:t>
      </w:r>
      <w:r>
        <w:t xml:space="preserve">, 212 S.W.3d 299, 308 (Tex. 2006) (citing </w:t>
      </w:r>
      <w:r>
        <w:rPr>
          <w:i/>
          <w:iCs/>
        </w:rPr>
        <w:t>Campbell</w:t>
      </w:r>
      <w:r>
        <w:t>, 528 U.S. at 416).</w:t>
      </w:r>
    </w:p>
  </w:footnote>
  <w:footnote w:id="192">
    <w:p w14:paraId="0BDEA8ED" w14:textId="3DB7F41D" w:rsidR="00715CE2" w:rsidRPr="00715CE2" w:rsidRDefault="00715CE2" w:rsidP="004042EF">
      <w:pPr>
        <w:pStyle w:val="FootnoteText"/>
        <w:jc w:val="both"/>
      </w:pPr>
      <w:r>
        <w:rPr>
          <w:rStyle w:val="FootnoteReference"/>
        </w:rPr>
        <w:footnoteRef/>
      </w:r>
      <w:r>
        <w:t xml:space="preserve"> </w:t>
      </w:r>
      <w:r>
        <w:rPr>
          <w:i/>
          <w:iCs/>
        </w:rPr>
        <w:t>Formosa Plastics</w:t>
      </w:r>
      <w:r>
        <w:t xml:space="preserve">, 960 S.W.2d at 44 (showing jury awarded the plaintiff $10,000,000 in exemplary damages on a $700,000 actual damages award); </w:t>
      </w:r>
      <w:proofErr w:type="spellStart"/>
      <w:r>
        <w:rPr>
          <w:i/>
          <w:iCs/>
        </w:rPr>
        <w:t>Artripe</w:t>
      </w:r>
      <w:proofErr w:type="spellEnd"/>
      <w:r>
        <w:t xml:space="preserve">, 857 S.W.2d at 88 (awarding $100,000 in exemplary damages when actual damages were $150,000); </w:t>
      </w:r>
      <w:r>
        <w:rPr>
          <w:i/>
          <w:iCs/>
        </w:rPr>
        <w:t>Cooper</w:t>
      </w:r>
      <w:r>
        <w:t>, 544 S.W.3d at 906–08 (affirming jury award of $50,000 in exemplary damages when actual damages were approximately $60,000).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2AE1"/>
    <w:multiLevelType w:val="hybridMultilevel"/>
    <w:tmpl w:val="1898FC64"/>
    <w:lvl w:ilvl="0" w:tplc="AB9617DE">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A0F13"/>
    <w:multiLevelType w:val="hybridMultilevel"/>
    <w:tmpl w:val="04988E3C"/>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32539"/>
    <w:multiLevelType w:val="hybridMultilevel"/>
    <w:tmpl w:val="6FA44CEA"/>
    <w:lvl w:ilvl="0" w:tplc="B510ACD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A92C56"/>
    <w:multiLevelType w:val="hybridMultilevel"/>
    <w:tmpl w:val="2C2034D2"/>
    <w:lvl w:ilvl="0" w:tplc="A018469C">
      <w:numFmt w:val="bullet"/>
      <w:lvlText w:val="-"/>
      <w:lvlJc w:val="left"/>
      <w:pPr>
        <w:ind w:left="1080" w:hanging="360"/>
      </w:pPr>
      <w:rPr>
        <w:rFonts w:ascii="Garamond" w:eastAsiaTheme="minorHAnsi" w:hAnsi="Garamond"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3A5647"/>
    <w:multiLevelType w:val="hybridMultilevel"/>
    <w:tmpl w:val="25A8072E"/>
    <w:lvl w:ilvl="0" w:tplc="4FEEC31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806C84"/>
    <w:multiLevelType w:val="hybridMultilevel"/>
    <w:tmpl w:val="AE6040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DE0A54"/>
    <w:multiLevelType w:val="hybridMultilevel"/>
    <w:tmpl w:val="7A5CB8E2"/>
    <w:lvl w:ilvl="0" w:tplc="C298D792">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8FF0A48"/>
    <w:multiLevelType w:val="hybridMultilevel"/>
    <w:tmpl w:val="2A4E7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511CB9"/>
    <w:multiLevelType w:val="hybridMultilevel"/>
    <w:tmpl w:val="3D60EAF2"/>
    <w:lvl w:ilvl="0" w:tplc="73A4B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390227"/>
    <w:multiLevelType w:val="hybridMultilevel"/>
    <w:tmpl w:val="C756A7CC"/>
    <w:lvl w:ilvl="0" w:tplc="8D4640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FD4DF1"/>
    <w:multiLevelType w:val="hybridMultilevel"/>
    <w:tmpl w:val="54F83B80"/>
    <w:lvl w:ilvl="0" w:tplc="1810899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7A4B81"/>
    <w:multiLevelType w:val="hybridMultilevel"/>
    <w:tmpl w:val="45BA7B1C"/>
    <w:lvl w:ilvl="0" w:tplc="C39483E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14F3504"/>
    <w:multiLevelType w:val="hybridMultilevel"/>
    <w:tmpl w:val="126042C0"/>
    <w:lvl w:ilvl="0" w:tplc="B510AC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5D52C3"/>
    <w:multiLevelType w:val="hybridMultilevel"/>
    <w:tmpl w:val="EA80D5F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4571B1"/>
    <w:multiLevelType w:val="hybridMultilevel"/>
    <w:tmpl w:val="80E42B12"/>
    <w:lvl w:ilvl="0" w:tplc="B07E76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4F023331"/>
    <w:multiLevelType w:val="hybridMultilevel"/>
    <w:tmpl w:val="8B0E0234"/>
    <w:lvl w:ilvl="0" w:tplc="5FC22CA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F790D7C2">
      <w:start w:val="1"/>
      <w:numFmt w:val="decimal"/>
      <w:lvlText w:val="(%3)"/>
      <w:lvlJc w:val="left"/>
      <w:pPr>
        <w:ind w:left="4140" w:hanging="360"/>
      </w:pPr>
      <w:rPr>
        <w:rFonts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3D3384A"/>
    <w:multiLevelType w:val="hybridMultilevel"/>
    <w:tmpl w:val="C93CBF5C"/>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39010892">
    <w:abstractNumId w:val="3"/>
  </w:num>
  <w:num w:numId="2" w16cid:durableId="793719999">
    <w:abstractNumId w:val="13"/>
  </w:num>
  <w:num w:numId="3" w16cid:durableId="796949534">
    <w:abstractNumId w:val="0"/>
  </w:num>
  <w:num w:numId="4" w16cid:durableId="1664969900">
    <w:abstractNumId w:val="12"/>
  </w:num>
  <w:num w:numId="5" w16cid:durableId="1419254637">
    <w:abstractNumId w:val="6"/>
  </w:num>
  <w:num w:numId="6" w16cid:durableId="1883907518">
    <w:abstractNumId w:val="10"/>
  </w:num>
  <w:num w:numId="7" w16cid:durableId="1960063136">
    <w:abstractNumId w:val="4"/>
  </w:num>
  <w:num w:numId="8" w16cid:durableId="1763337901">
    <w:abstractNumId w:val="2"/>
  </w:num>
  <w:num w:numId="9" w16cid:durableId="319240384">
    <w:abstractNumId w:val="11"/>
  </w:num>
  <w:num w:numId="10" w16cid:durableId="656147453">
    <w:abstractNumId w:val="16"/>
  </w:num>
  <w:num w:numId="11" w16cid:durableId="1932617399">
    <w:abstractNumId w:val="9"/>
  </w:num>
  <w:num w:numId="12" w16cid:durableId="1180435226">
    <w:abstractNumId w:val="5"/>
  </w:num>
  <w:num w:numId="13" w16cid:durableId="1409645864">
    <w:abstractNumId w:val="7"/>
  </w:num>
  <w:num w:numId="14" w16cid:durableId="1942834137">
    <w:abstractNumId w:val="1"/>
  </w:num>
  <w:num w:numId="15" w16cid:durableId="2091779406">
    <w:abstractNumId w:val="15"/>
  </w:num>
  <w:num w:numId="16" w16cid:durableId="2018576999">
    <w:abstractNumId w:val="8"/>
  </w:num>
  <w:num w:numId="17" w16cid:durableId="20721887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6F2"/>
    <w:rsid w:val="00001BD0"/>
    <w:rsid w:val="00020056"/>
    <w:rsid w:val="00022F4A"/>
    <w:rsid w:val="00023107"/>
    <w:rsid w:val="00025D77"/>
    <w:rsid w:val="00037B99"/>
    <w:rsid w:val="000455A6"/>
    <w:rsid w:val="00045C4E"/>
    <w:rsid w:val="00052B0E"/>
    <w:rsid w:val="00064104"/>
    <w:rsid w:val="00067FFA"/>
    <w:rsid w:val="00071EA5"/>
    <w:rsid w:val="00077AFC"/>
    <w:rsid w:val="00080BBC"/>
    <w:rsid w:val="00080CDA"/>
    <w:rsid w:val="00094BA6"/>
    <w:rsid w:val="000A2F8B"/>
    <w:rsid w:val="000A7AD2"/>
    <w:rsid w:val="000B00B5"/>
    <w:rsid w:val="000B5C1C"/>
    <w:rsid w:val="000B5E13"/>
    <w:rsid w:val="000C414B"/>
    <w:rsid w:val="000D76D4"/>
    <w:rsid w:val="000E3BAA"/>
    <w:rsid w:val="000E439C"/>
    <w:rsid w:val="000E61D6"/>
    <w:rsid w:val="000F3C73"/>
    <w:rsid w:val="000F5DE9"/>
    <w:rsid w:val="001019DB"/>
    <w:rsid w:val="001025A2"/>
    <w:rsid w:val="00102B94"/>
    <w:rsid w:val="001070A6"/>
    <w:rsid w:val="00107D6C"/>
    <w:rsid w:val="00111968"/>
    <w:rsid w:val="001132A1"/>
    <w:rsid w:val="001133BF"/>
    <w:rsid w:val="001137A3"/>
    <w:rsid w:val="0011417E"/>
    <w:rsid w:val="0011538C"/>
    <w:rsid w:val="00115E34"/>
    <w:rsid w:val="00117BE7"/>
    <w:rsid w:val="0012284C"/>
    <w:rsid w:val="00123A76"/>
    <w:rsid w:val="00125B9A"/>
    <w:rsid w:val="00130B8D"/>
    <w:rsid w:val="00130D0A"/>
    <w:rsid w:val="00143064"/>
    <w:rsid w:val="00144376"/>
    <w:rsid w:val="0014714E"/>
    <w:rsid w:val="00163E1B"/>
    <w:rsid w:val="00174653"/>
    <w:rsid w:val="0017603D"/>
    <w:rsid w:val="00184352"/>
    <w:rsid w:val="001A3922"/>
    <w:rsid w:val="001A5C4E"/>
    <w:rsid w:val="001B0BF6"/>
    <w:rsid w:val="001B6198"/>
    <w:rsid w:val="001B6C9E"/>
    <w:rsid w:val="001C76C8"/>
    <w:rsid w:val="001E2038"/>
    <w:rsid w:val="001F1E16"/>
    <w:rsid w:val="001F3207"/>
    <w:rsid w:val="001F4B6E"/>
    <w:rsid w:val="001F59DA"/>
    <w:rsid w:val="001F674B"/>
    <w:rsid w:val="0020013C"/>
    <w:rsid w:val="00207387"/>
    <w:rsid w:val="0021325D"/>
    <w:rsid w:val="00213FE3"/>
    <w:rsid w:val="0021724B"/>
    <w:rsid w:val="002172B5"/>
    <w:rsid w:val="00220B4B"/>
    <w:rsid w:val="002227CD"/>
    <w:rsid w:val="00223CC0"/>
    <w:rsid w:val="00224E0C"/>
    <w:rsid w:val="002360DE"/>
    <w:rsid w:val="002363EF"/>
    <w:rsid w:val="002460F6"/>
    <w:rsid w:val="00246E7B"/>
    <w:rsid w:val="00253539"/>
    <w:rsid w:val="002571A7"/>
    <w:rsid w:val="002579BB"/>
    <w:rsid w:val="0028354E"/>
    <w:rsid w:val="00284D2D"/>
    <w:rsid w:val="002A4C7C"/>
    <w:rsid w:val="002A7C4B"/>
    <w:rsid w:val="002B2437"/>
    <w:rsid w:val="002C3C22"/>
    <w:rsid w:val="002D5B37"/>
    <w:rsid w:val="002E0406"/>
    <w:rsid w:val="002E3963"/>
    <w:rsid w:val="002E694A"/>
    <w:rsid w:val="002F5F09"/>
    <w:rsid w:val="00302F6F"/>
    <w:rsid w:val="00306347"/>
    <w:rsid w:val="003073F5"/>
    <w:rsid w:val="00316B90"/>
    <w:rsid w:val="003321D2"/>
    <w:rsid w:val="0033314C"/>
    <w:rsid w:val="00333BC9"/>
    <w:rsid w:val="00337404"/>
    <w:rsid w:val="00367C11"/>
    <w:rsid w:val="00370706"/>
    <w:rsid w:val="00375B54"/>
    <w:rsid w:val="00387F86"/>
    <w:rsid w:val="00390AC2"/>
    <w:rsid w:val="00393020"/>
    <w:rsid w:val="00396EF7"/>
    <w:rsid w:val="003A4A35"/>
    <w:rsid w:val="003A60D4"/>
    <w:rsid w:val="003B242E"/>
    <w:rsid w:val="003B494F"/>
    <w:rsid w:val="003B5663"/>
    <w:rsid w:val="003C34D9"/>
    <w:rsid w:val="003C57DF"/>
    <w:rsid w:val="003C60C8"/>
    <w:rsid w:val="003D3756"/>
    <w:rsid w:val="003D655E"/>
    <w:rsid w:val="003D6728"/>
    <w:rsid w:val="003E0CC4"/>
    <w:rsid w:val="003F15A5"/>
    <w:rsid w:val="003F1ED1"/>
    <w:rsid w:val="003F2102"/>
    <w:rsid w:val="003F5854"/>
    <w:rsid w:val="004020A6"/>
    <w:rsid w:val="004042EF"/>
    <w:rsid w:val="00416F97"/>
    <w:rsid w:val="00432E87"/>
    <w:rsid w:val="00442F59"/>
    <w:rsid w:val="00445039"/>
    <w:rsid w:val="0044623C"/>
    <w:rsid w:val="00447DA4"/>
    <w:rsid w:val="00450FAA"/>
    <w:rsid w:val="00462A1C"/>
    <w:rsid w:val="004674EE"/>
    <w:rsid w:val="0048073A"/>
    <w:rsid w:val="00481612"/>
    <w:rsid w:val="00484790"/>
    <w:rsid w:val="004855A7"/>
    <w:rsid w:val="00493C35"/>
    <w:rsid w:val="004968D4"/>
    <w:rsid w:val="004A03AD"/>
    <w:rsid w:val="004B5B42"/>
    <w:rsid w:val="004C25B8"/>
    <w:rsid w:val="004C2BBF"/>
    <w:rsid w:val="004D0EBE"/>
    <w:rsid w:val="004D3C6E"/>
    <w:rsid w:val="004D4ECB"/>
    <w:rsid w:val="004E205E"/>
    <w:rsid w:val="004E2414"/>
    <w:rsid w:val="004E265E"/>
    <w:rsid w:val="004E517C"/>
    <w:rsid w:val="004E7BE2"/>
    <w:rsid w:val="004F2E93"/>
    <w:rsid w:val="004F6762"/>
    <w:rsid w:val="00502FEE"/>
    <w:rsid w:val="00505765"/>
    <w:rsid w:val="00506EBC"/>
    <w:rsid w:val="0051587D"/>
    <w:rsid w:val="00521851"/>
    <w:rsid w:val="00522376"/>
    <w:rsid w:val="00524147"/>
    <w:rsid w:val="0053123D"/>
    <w:rsid w:val="00532579"/>
    <w:rsid w:val="00534B5F"/>
    <w:rsid w:val="00537480"/>
    <w:rsid w:val="005437D2"/>
    <w:rsid w:val="00545162"/>
    <w:rsid w:val="00546E0C"/>
    <w:rsid w:val="00547E0E"/>
    <w:rsid w:val="00557D7E"/>
    <w:rsid w:val="0056152F"/>
    <w:rsid w:val="00561E9C"/>
    <w:rsid w:val="005630F1"/>
    <w:rsid w:val="00563122"/>
    <w:rsid w:val="00566F31"/>
    <w:rsid w:val="00571E3A"/>
    <w:rsid w:val="0057642F"/>
    <w:rsid w:val="00592653"/>
    <w:rsid w:val="005B0234"/>
    <w:rsid w:val="005B265B"/>
    <w:rsid w:val="005B6C7D"/>
    <w:rsid w:val="005C0F84"/>
    <w:rsid w:val="005C2762"/>
    <w:rsid w:val="005D0D0A"/>
    <w:rsid w:val="005D184A"/>
    <w:rsid w:val="005D6800"/>
    <w:rsid w:val="005E2313"/>
    <w:rsid w:val="005E3430"/>
    <w:rsid w:val="005E76AB"/>
    <w:rsid w:val="005F0BD0"/>
    <w:rsid w:val="005F3D74"/>
    <w:rsid w:val="005F58EF"/>
    <w:rsid w:val="00600CCE"/>
    <w:rsid w:val="00602925"/>
    <w:rsid w:val="00605B2A"/>
    <w:rsid w:val="006111C7"/>
    <w:rsid w:val="00616782"/>
    <w:rsid w:val="00621EB2"/>
    <w:rsid w:val="006228E8"/>
    <w:rsid w:val="006234CF"/>
    <w:rsid w:val="006248C2"/>
    <w:rsid w:val="006268D7"/>
    <w:rsid w:val="00631875"/>
    <w:rsid w:val="0063298B"/>
    <w:rsid w:val="006412A8"/>
    <w:rsid w:val="006448B8"/>
    <w:rsid w:val="00646DE4"/>
    <w:rsid w:val="006513B3"/>
    <w:rsid w:val="00652BDA"/>
    <w:rsid w:val="00661A83"/>
    <w:rsid w:val="00664481"/>
    <w:rsid w:val="006658F1"/>
    <w:rsid w:val="006673F8"/>
    <w:rsid w:val="00667691"/>
    <w:rsid w:val="00675508"/>
    <w:rsid w:val="00675663"/>
    <w:rsid w:val="00683AAC"/>
    <w:rsid w:val="00683D9E"/>
    <w:rsid w:val="006855B2"/>
    <w:rsid w:val="00685A24"/>
    <w:rsid w:val="00685E8B"/>
    <w:rsid w:val="00686980"/>
    <w:rsid w:val="006A4435"/>
    <w:rsid w:val="006B1AD5"/>
    <w:rsid w:val="006C1554"/>
    <w:rsid w:val="006D4241"/>
    <w:rsid w:val="006D6E0E"/>
    <w:rsid w:val="006D7E39"/>
    <w:rsid w:val="006E1C59"/>
    <w:rsid w:val="00714CE8"/>
    <w:rsid w:val="00715CE2"/>
    <w:rsid w:val="00722E2F"/>
    <w:rsid w:val="00731D65"/>
    <w:rsid w:val="00740D85"/>
    <w:rsid w:val="00742D85"/>
    <w:rsid w:val="00745BDD"/>
    <w:rsid w:val="00747E0C"/>
    <w:rsid w:val="00751413"/>
    <w:rsid w:val="0075517C"/>
    <w:rsid w:val="00755C6C"/>
    <w:rsid w:val="0076236B"/>
    <w:rsid w:val="00763B87"/>
    <w:rsid w:val="00770042"/>
    <w:rsid w:val="0077074B"/>
    <w:rsid w:val="00770D7D"/>
    <w:rsid w:val="0077142C"/>
    <w:rsid w:val="007717C0"/>
    <w:rsid w:val="0077343F"/>
    <w:rsid w:val="007769A4"/>
    <w:rsid w:val="00776D37"/>
    <w:rsid w:val="00777195"/>
    <w:rsid w:val="007778F0"/>
    <w:rsid w:val="00777CD0"/>
    <w:rsid w:val="007822CC"/>
    <w:rsid w:val="0078580D"/>
    <w:rsid w:val="007928B5"/>
    <w:rsid w:val="0079334E"/>
    <w:rsid w:val="00796501"/>
    <w:rsid w:val="007967BB"/>
    <w:rsid w:val="007975E0"/>
    <w:rsid w:val="007B4AC9"/>
    <w:rsid w:val="007B695B"/>
    <w:rsid w:val="007B77E8"/>
    <w:rsid w:val="007B79D3"/>
    <w:rsid w:val="007C0506"/>
    <w:rsid w:val="007C1F0C"/>
    <w:rsid w:val="007C5A2D"/>
    <w:rsid w:val="007C6303"/>
    <w:rsid w:val="007C6685"/>
    <w:rsid w:val="007D0391"/>
    <w:rsid w:val="007E749A"/>
    <w:rsid w:val="007F24A5"/>
    <w:rsid w:val="007F313B"/>
    <w:rsid w:val="007F4D89"/>
    <w:rsid w:val="007F7DDF"/>
    <w:rsid w:val="008001E2"/>
    <w:rsid w:val="0080252F"/>
    <w:rsid w:val="0081008C"/>
    <w:rsid w:val="008133D4"/>
    <w:rsid w:val="008145C6"/>
    <w:rsid w:val="00817C1D"/>
    <w:rsid w:val="00821592"/>
    <w:rsid w:val="00821C0C"/>
    <w:rsid w:val="00837004"/>
    <w:rsid w:val="008507D5"/>
    <w:rsid w:val="00855EDA"/>
    <w:rsid w:val="00857819"/>
    <w:rsid w:val="008600E1"/>
    <w:rsid w:val="0086107C"/>
    <w:rsid w:val="0086193E"/>
    <w:rsid w:val="008674A8"/>
    <w:rsid w:val="00872484"/>
    <w:rsid w:val="008764E1"/>
    <w:rsid w:val="0088534E"/>
    <w:rsid w:val="00885739"/>
    <w:rsid w:val="008870A7"/>
    <w:rsid w:val="00897200"/>
    <w:rsid w:val="008A33BF"/>
    <w:rsid w:val="008B1899"/>
    <w:rsid w:val="008B425F"/>
    <w:rsid w:val="008C3660"/>
    <w:rsid w:val="008C4CDF"/>
    <w:rsid w:val="008C65B0"/>
    <w:rsid w:val="008D4AB4"/>
    <w:rsid w:val="008E0B97"/>
    <w:rsid w:val="008E1D08"/>
    <w:rsid w:val="008F013E"/>
    <w:rsid w:val="008F175C"/>
    <w:rsid w:val="0090246E"/>
    <w:rsid w:val="0090691B"/>
    <w:rsid w:val="00913CDC"/>
    <w:rsid w:val="00916A46"/>
    <w:rsid w:val="00922821"/>
    <w:rsid w:val="00936D9C"/>
    <w:rsid w:val="00936FA2"/>
    <w:rsid w:val="00937B2B"/>
    <w:rsid w:val="00943A6F"/>
    <w:rsid w:val="00947636"/>
    <w:rsid w:val="0095320C"/>
    <w:rsid w:val="00961693"/>
    <w:rsid w:val="0096282A"/>
    <w:rsid w:val="00976319"/>
    <w:rsid w:val="009801CC"/>
    <w:rsid w:val="00986663"/>
    <w:rsid w:val="00990810"/>
    <w:rsid w:val="00991D75"/>
    <w:rsid w:val="009A1609"/>
    <w:rsid w:val="009A334F"/>
    <w:rsid w:val="009B1957"/>
    <w:rsid w:val="009C1616"/>
    <w:rsid w:val="009C459F"/>
    <w:rsid w:val="009D17F4"/>
    <w:rsid w:val="009D65F6"/>
    <w:rsid w:val="009E7844"/>
    <w:rsid w:val="009E7DC2"/>
    <w:rsid w:val="009F1FEA"/>
    <w:rsid w:val="009F57D5"/>
    <w:rsid w:val="00A053CE"/>
    <w:rsid w:val="00A114DB"/>
    <w:rsid w:val="00A11CC4"/>
    <w:rsid w:val="00A2190A"/>
    <w:rsid w:val="00A21E0B"/>
    <w:rsid w:val="00A32F33"/>
    <w:rsid w:val="00A37326"/>
    <w:rsid w:val="00A42084"/>
    <w:rsid w:val="00A43DF4"/>
    <w:rsid w:val="00A44AA0"/>
    <w:rsid w:val="00A53540"/>
    <w:rsid w:val="00A57A8F"/>
    <w:rsid w:val="00A60A03"/>
    <w:rsid w:val="00A62A48"/>
    <w:rsid w:val="00A758B2"/>
    <w:rsid w:val="00A75F97"/>
    <w:rsid w:val="00A802F1"/>
    <w:rsid w:val="00A804A1"/>
    <w:rsid w:val="00A81B2E"/>
    <w:rsid w:val="00A92682"/>
    <w:rsid w:val="00A93D09"/>
    <w:rsid w:val="00AA13F0"/>
    <w:rsid w:val="00AB60C9"/>
    <w:rsid w:val="00AB61D3"/>
    <w:rsid w:val="00AC082E"/>
    <w:rsid w:val="00AC4897"/>
    <w:rsid w:val="00AD0F88"/>
    <w:rsid w:val="00AE2B09"/>
    <w:rsid w:val="00AE4D0F"/>
    <w:rsid w:val="00AE5E46"/>
    <w:rsid w:val="00B103CB"/>
    <w:rsid w:val="00B24414"/>
    <w:rsid w:val="00B31B24"/>
    <w:rsid w:val="00B3337F"/>
    <w:rsid w:val="00B60D85"/>
    <w:rsid w:val="00B61F0D"/>
    <w:rsid w:val="00B76180"/>
    <w:rsid w:val="00B77BE2"/>
    <w:rsid w:val="00B838DE"/>
    <w:rsid w:val="00B86376"/>
    <w:rsid w:val="00B908DC"/>
    <w:rsid w:val="00B93755"/>
    <w:rsid w:val="00BA1028"/>
    <w:rsid w:val="00BA206C"/>
    <w:rsid w:val="00BA2733"/>
    <w:rsid w:val="00BB15E0"/>
    <w:rsid w:val="00BB6AEB"/>
    <w:rsid w:val="00BC200A"/>
    <w:rsid w:val="00BD03F7"/>
    <w:rsid w:val="00BD0CB3"/>
    <w:rsid w:val="00BD104B"/>
    <w:rsid w:val="00BD2C85"/>
    <w:rsid w:val="00BD54B0"/>
    <w:rsid w:val="00BE0DF5"/>
    <w:rsid w:val="00BE0FF9"/>
    <w:rsid w:val="00BE102E"/>
    <w:rsid w:val="00BE115D"/>
    <w:rsid w:val="00BF0D52"/>
    <w:rsid w:val="00BF6059"/>
    <w:rsid w:val="00C16CA9"/>
    <w:rsid w:val="00C25867"/>
    <w:rsid w:val="00C259DD"/>
    <w:rsid w:val="00C30FA3"/>
    <w:rsid w:val="00C312F3"/>
    <w:rsid w:val="00C349E6"/>
    <w:rsid w:val="00C37957"/>
    <w:rsid w:val="00C561F0"/>
    <w:rsid w:val="00C648D0"/>
    <w:rsid w:val="00C66534"/>
    <w:rsid w:val="00C8068F"/>
    <w:rsid w:val="00C94FA2"/>
    <w:rsid w:val="00C9529B"/>
    <w:rsid w:val="00C95361"/>
    <w:rsid w:val="00C96B29"/>
    <w:rsid w:val="00CA0CB6"/>
    <w:rsid w:val="00CA6EAC"/>
    <w:rsid w:val="00CB0E0A"/>
    <w:rsid w:val="00CC3393"/>
    <w:rsid w:val="00CD08AE"/>
    <w:rsid w:val="00CD1078"/>
    <w:rsid w:val="00CD7353"/>
    <w:rsid w:val="00CD73AF"/>
    <w:rsid w:val="00CE04D7"/>
    <w:rsid w:val="00CE1125"/>
    <w:rsid w:val="00CE4B98"/>
    <w:rsid w:val="00CE642C"/>
    <w:rsid w:val="00CF0144"/>
    <w:rsid w:val="00CF2BB9"/>
    <w:rsid w:val="00CF3DB1"/>
    <w:rsid w:val="00CF78C9"/>
    <w:rsid w:val="00CF7A4B"/>
    <w:rsid w:val="00CF7D19"/>
    <w:rsid w:val="00D000C7"/>
    <w:rsid w:val="00D174C7"/>
    <w:rsid w:val="00D2144E"/>
    <w:rsid w:val="00D21BB0"/>
    <w:rsid w:val="00D23560"/>
    <w:rsid w:val="00D43725"/>
    <w:rsid w:val="00D45EB7"/>
    <w:rsid w:val="00D477BD"/>
    <w:rsid w:val="00D47C69"/>
    <w:rsid w:val="00D562ED"/>
    <w:rsid w:val="00D5650E"/>
    <w:rsid w:val="00D625DB"/>
    <w:rsid w:val="00D707A4"/>
    <w:rsid w:val="00D77FCE"/>
    <w:rsid w:val="00D8389F"/>
    <w:rsid w:val="00D902BC"/>
    <w:rsid w:val="00D93766"/>
    <w:rsid w:val="00D976F0"/>
    <w:rsid w:val="00DA0DD3"/>
    <w:rsid w:val="00DA5600"/>
    <w:rsid w:val="00DB3DF5"/>
    <w:rsid w:val="00DB7EA2"/>
    <w:rsid w:val="00DC192F"/>
    <w:rsid w:val="00DC375C"/>
    <w:rsid w:val="00DE422C"/>
    <w:rsid w:val="00DE5110"/>
    <w:rsid w:val="00DF2023"/>
    <w:rsid w:val="00DF20DF"/>
    <w:rsid w:val="00E02A2E"/>
    <w:rsid w:val="00E0458C"/>
    <w:rsid w:val="00E06EE2"/>
    <w:rsid w:val="00E11B0E"/>
    <w:rsid w:val="00E13F77"/>
    <w:rsid w:val="00E14B48"/>
    <w:rsid w:val="00E278E7"/>
    <w:rsid w:val="00E301BE"/>
    <w:rsid w:val="00E32218"/>
    <w:rsid w:val="00E33551"/>
    <w:rsid w:val="00E343F1"/>
    <w:rsid w:val="00E367F9"/>
    <w:rsid w:val="00E509A0"/>
    <w:rsid w:val="00E567BD"/>
    <w:rsid w:val="00E605DA"/>
    <w:rsid w:val="00E71BE6"/>
    <w:rsid w:val="00E75069"/>
    <w:rsid w:val="00E913C4"/>
    <w:rsid w:val="00E91872"/>
    <w:rsid w:val="00E94678"/>
    <w:rsid w:val="00E94E9D"/>
    <w:rsid w:val="00EA1584"/>
    <w:rsid w:val="00EA3094"/>
    <w:rsid w:val="00EB31FB"/>
    <w:rsid w:val="00EB577C"/>
    <w:rsid w:val="00EB7D6A"/>
    <w:rsid w:val="00EC1360"/>
    <w:rsid w:val="00ED1E06"/>
    <w:rsid w:val="00ED28E7"/>
    <w:rsid w:val="00EE3A21"/>
    <w:rsid w:val="00EE48F9"/>
    <w:rsid w:val="00EF2737"/>
    <w:rsid w:val="00EF3A22"/>
    <w:rsid w:val="00EF425F"/>
    <w:rsid w:val="00F00312"/>
    <w:rsid w:val="00F01A53"/>
    <w:rsid w:val="00F01A86"/>
    <w:rsid w:val="00F033C3"/>
    <w:rsid w:val="00F0497A"/>
    <w:rsid w:val="00F066F2"/>
    <w:rsid w:val="00F1523C"/>
    <w:rsid w:val="00F2193D"/>
    <w:rsid w:val="00F37742"/>
    <w:rsid w:val="00F45BCA"/>
    <w:rsid w:val="00F46FA0"/>
    <w:rsid w:val="00F5287B"/>
    <w:rsid w:val="00F75AB8"/>
    <w:rsid w:val="00F862D1"/>
    <w:rsid w:val="00F870C6"/>
    <w:rsid w:val="00F876E9"/>
    <w:rsid w:val="00F90356"/>
    <w:rsid w:val="00F92C28"/>
    <w:rsid w:val="00FA07CE"/>
    <w:rsid w:val="00FA7359"/>
    <w:rsid w:val="00FB2355"/>
    <w:rsid w:val="00FC46B1"/>
    <w:rsid w:val="00FC4D13"/>
    <w:rsid w:val="00FD13E6"/>
    <w:rsid w:val="00FD2D1D"/>
    <w:rsid w:val="00FF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573F7"/>
  <w15:chartTrackingRefBased/>
  <w15:docId w15:val="{9FE2DC30-39B0-4098-8E74-1A08C0FA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6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6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066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066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66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66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66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6F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6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066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066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66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66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66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6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6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6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66F2"/>
    <w:pPr>
      <w:spacing w:before="160"/>
      <w:jc w:val="center"/>
    </w:pPr>
    <w:rPr>
      <w:i/>
      <w:iCs/>
      <w:color w:val="404040" w:themeColor="text1" w:themeTint="BF"/>
    </w:rPr>
  </w:style>
  <w:style w:type="character" w:customStyle="1" w:styleId="QuoteChar">
    <w:name w:val="Quote Char"/>
    <w:basedOn w:val="DefaultParagraphFont"/>
    <w:link w:val="Quote"/>
    <w:uiPriority w:val="29"/>
    <w:rsid w:val="00F066F2"/>
    <w:rPr>
      <w:i/>
      <w:iCs/>
      <w:color w:val="404040" w:themeColor="text1" w:themeTint="BF"/>
    </w:rPr>
  </w:style>
  <w:style w:type="paragraph" w:styleId="ListParagraph">
    <w:name w:val="List Paragraph"/>
    <w:basedOn w:val="Normal"/>
    <w:uiPriority w:val="34"/>
    <w:qFormat/>
    <w:rsid w:val="00F066F2"/>
    <w:pPr>
      <w:ind w:left="720"/>
      <w:contextualSpacing/>
    </w:pPr>
  </w:style>
  <w:style w:type="character" w:styleId="IntenseEmphasis">
    <w:name w:val="Intense Emphasis"/>
    <w:basedOn w:val="DefaultParagraphFont"/>
    <w:uiPriority w:val="21"/>
    <w:qFormat/>
    <w:rsid w:val="00F066F2"/>
    <w:rPr>
      <w:i/>
      <w:iCs/>
      <w:color w:val="0F4761" w:themeColor="accent1" w:themeShade="BF"/>
    </w:rPr>
  </w:style>
  <w:style w:type="paragraph" w:styleId="IntenseQuote">
    <w:name w:val="Intense Quote"/>
    <w:basedOn w:val="Normal"/>
    <w:next w:val="Normal"/>
    <w:link w:val="IntenseQuoteChar"/>
    <w:uiPriority w:val="30"/>
    <w:qFormat/>
    <w:rsid w:val="00F06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6F2"/>
    <w:rPr>
      <w:i/>
      <w:iCs/>
      <w:color w:val="0F4761" w:themeColor="accent1" w:themeShade="BF"/>
    </w:rPr>
  </w:style>
  <w:style w:type="character" w:styleId="IntenseReference">
    <w:name w:val="Intense Reference"/>
    <w:basedOn w:val="DefaultParagraphFont"/>
    <w:uiPriority w:val="32"/>
    <w:qFormat/>
    <w:rsid w:val="00F066F2"/>
    <w:rPr>
      <w:b/>
      <w:bCs/>
      <w:smallCaps/>
      <w:color w:val="0F4761" w:themeColor="accent1" w:themeShade="BF"/>
      <w:spacing w:val="5"/>
    </w:rPr>
  </w:style>
  <w:style w:type="paragraph" w:styleId="FootnoteText">
    <w:name w:val="footnote text"/>
    <w:basedOn w:val="Normal"/>
    <w:link w:val="FootnoteTextChar"/>
    <w:uiPriority w:val="99"/>
    <w:semiHidden/>
    <w:unhideWhenUsed/>
    <w:rsid w:val="00A11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CC4"/>
    <w:rPr>
      <w:sz w:val="20"/>
      <w:szCs w:val="20"/>
    </w:rPr>
  </w:style>
  <w:style w:type="character" w:styleId="FootnoteReference">
    <w:name w:val="footnote reference"/>
    <w:basedOn w:val="DefaultParagraphFont"/>
    <w:uiPriority w:val="99"/>
    <w:semiHidden/>
    <w:unhideWhenUsed/>
    <w:rsid w:val="00A11CC4"/>
    <w:rPr>
      <w:vertAlign w:val="superscript"/>
    </w:rPr>
  </w:style>
  <w:style w:type="character" w:styleId="Hyperlink">
    <w:name w:val="Hyperlink"/>
    <w:basedOn w:val="DefaultParagraphFont"/>
    <w:uiPriority w:val="99"/>
    <w:unhideWhenUsed/>
    <w:rsid w:val="006513B3"/>
    <w:rPr>
      <w:color w:val="467886" w:themeColor="hyperlink"/>
      <w:u w:val="single"/>
    </w:rPr>
  </w:style>
  <w:style w:type="character" w:styleId="UnresolvedMention">
    <w:name w:val="Unresolved Mention"/>
    <w:basedOn w:val="DefaultParagraphFont"/>
    <w:uiPriority w:val="99"/>
    <w:semiHidden/>
    <w:unhideWhenUsed/>
    <w:rsid w:val="006513B3"/>
    <w:rPr>
      <w:color w:val="605E5C"/>
      <w:shd w:val="clear" w:color="auto" w:fill="E1DFDD"/>
    </w:rPr>
  </w:style>
  <w:style w:type="paragraph" w:styleId="Header">
    <w:name w:val="header"/>
    <w:basedOn w:val="Normal"/>
    <w:link w:val="HeaderChar"/>
    <w:uiPriority w:val="99"/>
    <w:unhideWhenUsed/>
    <w:rsid w:val="00432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E87"/>
  </w:style>
  <w:style w:type="paragraph" w:styleId="Footer">
    <w:name w:val="footer"/>
    <w:basedOn w:val="Normal"/>
    <w:link w:val="FooterChar"/>
    <w:uiPriority w:val="99"/>
    <w:unhideWhenUsed/>
    <w:rsid w:val="00432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E87"/>
  </w:style>
  <w:style w:type="character" w:styleId="FollowedHyperlink">
    <w:name w:val="FollowedHyperlink"/>
    <w:basedOn w:val="DefaultParagraphFont"/>
    <w:uiPriority w:val="99"/>
    <w:semiHidden/>
    <w:unhideWhenUsed/>
    <w:rsid w:val="00493C35"/>
    <w:rPr>
      <w:color w:val="96607D" w:themeColor="followedHyperlink"/>
      <w:u w:val="single"/>
    </w:rPr>
  </w:style>
  <w:style w:type="character" w:styleId="CommentReference">
    <w:name w:val="annotation reference"/>
    <w:basedOn w:val="DefaultParagraphFont"/>
    <w:uiPriority w:val="99"/>
    <w:semiHidden/>
    <w:unhideWhenUsed/>
    <w:rsid w:val="009A1609"/>
    <w:rPr>
      <w:sz w:val="16"/>
      <w:szCs w:val="16"/>
    </w:rPr>
  </w:style>
  <w:style w:type="paragraph" w:styleId="CommentText">
    <w:name w:val="annotation text"/>
    <w:basedOn w:val="Normal"/>
    <w:link w:val="CommentTextChar"/>
    <w:uiPriority w:val="99"/>
    <w:unhideWhenUsed/>
    <w:rsid w:val="009A1609"/>
    <w:pPr>
      <w:spacing w:line="240" w:lineRule="auto"/>
    </w:pPr>
    <w:rPr>
      <w:sz w:val="20"/>
      <w:szCs w:val="20"/>
    </w:rPr>
  </w:style>
  <w:style w:type="character" w:customStyle="1" w:styleId="CommentTextChar">
    <w:name w:val="Comment Text Char"/>
    <w:basedOn w:val="DefaultParagraphFont"/>
    <w:link w:val="CommentText"/>
    <w:uiPriority w:val="99"/>
    <w:rsid w:val="009A1609"/>
    <w:rPr>
      <w:sz w:val="20"/>
      <w:szCs w:val="20"/>
    </w:rPr>
  </w:style>
  <w:style w:type="paragraph" w:styleId="CommentSubject">
    <w:name w:val="annotation subject"/>
    <w:basedOn w:val="CommentText"/>
    <w:next w:val="CommentText"/>
    <w:link w:val="CommentSubjectChar"/>
    <w:uiPriority w:val="99"/>
    <w:semiHidden/>
    <w:unhideWhenUsed/>
    <w:rsid w:val="009A1609"/>
    <w:rPr>
      <w:b/>
      <w:bCs/>
    </w:rPr>
  </w:style>
  <w:style w:type="character" w:customStyle="1" w:styleId="CommentSubjectChar">
    <w:name w:val="Comment Subject Char"/>
    <w:basedOn w:val="CommentTextChar"/>
    <w:link w:val="CommentSubject"/>
    <w:uiPriority w:val="99"/>
    <w:semiHidden/>
    <w:rsid w:val="009A1609"/>
    <w:rPr>
      <w:b/>
      <w:bCs/>
      <w:sz w:val="20"/>
      <w:szCs w:val="20"/>
    </w:rPr>
  </w:style>
  <w:style w:type="paragraph" w:styleId="Revision">
    <w:name w:val="Revision"/>
    <w:hidden/>
    <w:uiPriority w:val="99"/>
    <w:semiHidden/>
    <w:rsid w:val="00C30F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bls.gov/data/inflation_calcul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3659E-C80E-4003-87B1-CC4E99E6A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25</Pages>
  <Words>8826</Words>
  <Characters>48102</Characters>
  <Application>Microsoft Office Word</Application>
  <DocSecurity>0</DocSecurity>
  <Lines>707</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Byrom</dc:creator>
  <cp:keywords/>
  <dc:description/>
  <cp:lastModifiedBy>Catherine Saba</cp:lastModifiedBy>
  <cp:revision>50</cp:revision>
  <cp:lastPrinted>2026-02-13T21:20:00Z</cp:lastPrinted>
  <dcterms:created xsi:type="dcterms:W3CDTF">2026-02-13T18:33:00Z</dcterms:created>
  <dcterms:modified xsi:type="dcterms:W3CDTF">2026-02-13T21:21:00Z</dcterms:modified>
</cp:coreProperties>
</file>